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AF" w:rsidRDefault="001737AF" w:rsidP="00056D84">
      <w:pPr>
        <w:rPr>
          <w:rStyle w:val="a5"/>
          <w:b w:val="0"/>
          <w:sz w:val="22"/>
          <w:szCs w:val="22"/>
        </w:rPr>
      </w:pPr>
      <w:bookmarkStart w:id="0" w:name="_GoBack"/>
      <w:bookmarkEnd w:id="0"/>
    </w:p>
    <w:p w:rsidR="00605E6D" w:rsidRPr="00CF75A1" w:rsidRDefault="00605E6D" w:rsidP="00605E6D">
      <w:pPr>
        <w:ind w:left="5400"/>
        <w:rPr>
          <w:rStyle w:val="a5"/>
          <w:b w:val="0"/>
          <w:sz w:val="22"/>
          <w:szCs w:val="22"/>
        </w:rPr>
      </w:pPr>
      <w:r w:rsidRPr="00CF75A1">
        <w:rPr>
          <w:rStyle w:val="a5"/>
          <w:b w:val="0"/>
          <w:sz w:val="22"/>
          <w:szCs w:val="22"/>
        </w:rPr>
        <w:t xml:space="preserve">Додаток </w:t>
      </w:r>
    </w:p>
    <w:p w:rsidR="00605E6D" w:rsidRPr="00CF75A1" w:rsidRDefault="00605E6D" w:rsidP="004B18C0">
      <w:pPr>
        <w:ind w:left="5400"/>
      </w:pPr>
      <w:r w:rsidRPr="00CF75A1">
        <w:rPr>
          <w:rStyle w:val="a5"/>
          <w:b w:val="0"/>
          <w:sz w:val="22"/>
          <w:szCs w:val="22"/>
        </w:rPr>
        <w:t xml:space="preserve">до  рішення </w:t>
      </w:r>
      <w:r w:rsidR="004B18C0" w:rsidRPr="00CF75A1">
        <w:rPr>
          <w:sz w:val="22"/>
          <w:szCs w:val="22"/>
        </w:rPr>
        <w:t>Баштечківської сільської</w:t>
      </w:r>
      <w:r w:rsidR="004B18C0" w:rsidRPr="00CF75A1">
        <w:rPr>
          <w:sz w:val="28"/>
          <w:szCs w:val="28"/>
        </w:rPr>
        <w:t xml:space="preserve"> </w:t>
      </w:r>
      <w:r w:rsidRPr="00CF75A1">
        <w:rPr>
          <w:rStyle w:val="a5"/>
          <w:b w:val="0"/>
          <w:sz w:val="22"/>
          <w:szCs w:val="22"/>
        </w:rPr>
        <w:t xml:space="preserve">ради </w:t>
      </w:r>
      <w:r w:rsidR="00D76A10" w:rsidRPr="00CF75A1">
        <w:rPr>
          <w:bCs/>
          <w:sz w:val="22"/>
          <w:szCs w:val="22"/>
        </w:rPr>
        <w:t>від 09.10.</w:t>
      </w:r>
      <w:r w:rsidRPr="00CF75A1">
        <w:rPr>
          <w:bCs/>
          <w:sz w:val="22"/>
          <w:szCs w:val="22"/>
        </w:rPr>
        <w:t>202</w:t>
      </w:r>
      <w:r w:rsidR="00CA76AE" w:rsidRPr="00CF75A1">
        <w:rPr>
          <w:bCs/>
          <w:sz w:val="22"/>
          <w:szCs w:val="22"/>
        </w:rPr>
        <w:t>5</w:t>
      </w:r>
      <w:r w:rsidRPr="00CF75A1">
        <w:rPr>
          <w:bCs/>
          <w:sz w:val="22"/>
          <w:szCs w:val="22"/>
        </w:rPr>
        <w:t xml:space="preserve"> № </w:t>
      </w:r>
      <w:r w:rsidR="00D76A10" w:rsidRPr="00CF75A1">
        <w:rPr>
          <w:bCs/>
          <w:sz w:val="22"/>
          <w:szCs w:val="22"/>
        </w:rPr>
        <w:t>44-4</w:t>
      </w:r>
      <w:r w:rsidRPr="00CF75A1">
        <w:rPr>
          <w:bCs/>
          <w:sz w:val="22"/>
          <w:szCs w:val="22"/>
        </w:rPr>
        <w:t>/</w:t>
      </w:r>
      <w:r w:rsidRPr="00CF75A1">
        <w:rPr>
          <w:bCs/>
          <w:sz w:val="22"/>
          <w:szCs w:val="22"/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D12246">
        <w:rPr>
          <w:b/>
          <w:sz w:val="28"/>
          <w:szCs w:val="28"/>
        </w:rPr>
        <w:t>5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5"/>
        <w:gridCol w:w="5354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6272B" w:rsidRDefault="009B50A6" w:rsidP="00D12246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D12246">
              <w:rPr>
                <w:sz w:val="28"/>
                <w:szCs w:val="28"/>
                <w:lang w:val="uk-UA"/>
              </w:rPr>
              <w:t>5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9B50A6" w:rsidP="002A73B5">
            <w:pPr>
              <w:pStyle w:val="a4"/>
              <w:spacing w:before="0" w:beforeAutospacing="0" w:after="0" w:afterAutospacing="0"/>
              <w:rPr>
                <w:rStyle w:val="rvts10"/>
                <w:sz w:val="28"/>
                <w:szCs w:val="28"/>
                <w:lang w:val="uk-UA"/>
              </w:rPr>
            </w:pPr>
          </w:p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91440B" w:rsidRDefault="00922DBF" w:rsidP="00E866F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6 </w:t>
            </w:r>
            <w:r w:rsidR="00E866F0">
              <w:rPr>
                <w:sz w:val="28"/>
                <w:szCs w:val="28"/>
                <w:lang w:val="uk-UA"/>
              </w:rPr>
              <w:t>755</w:t>
            </w:r>
            <w:r>
              <w:rPr>
                <w:sz w:val="28"/>
                <w:szCs w:val="28"/>
              </w:rPr>
              <w:t xml:space="preserve"> </w:t>
            </w:r>
            <w:r w:rsidR="00E866F0">
              <w:rPr>
                <w:sz w:val="28"/>
                <w:szCs w:val="28"/>
                <w:lang w:val="uk-UA"/>
              </w:rPr>
              <w:t>399</w:t>
            </w:r>
            <w:r w:rsidR="002A73B5" w:rsidRPr="00DE57E3">
              <w:rPr>
                <w:sz w:val="28"/>
                <w:szCs w:val="28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B247B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250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Pr="0091440B" w:rsidRDefault="00B247BC" w:rsidP="00E866F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4A61DC">
              <w:rPr>
                <w:sz w:val="28"/>
                <w:szCs w:val="28"/>
                <w:lang w:val="uk-UA"/>
              </w:rPr>
              <w:t> </w:t>
            </w:r>
            <w:r w:rsidR="00E866F0">
              <w:rPr>
                <w:sz w:val="28"/>
                <w:szCs w:val="28"/>
                <w:lang w:val="uk-UA"/>
              </w:rPr>
              <w:t>505</w:t>
            </w:r>
            <w:r w:rsidR="00E517E7">
              <w:rPr>
                <w:sz w:val="28"/>
                <w:szCs w:val="28"/>
                <w:lang w:val="uk-UA"/>
              </w:rPr>
              <w:t xml:space="preserve"> 3</w:t>
            </w:r>
            <w:r w:rsidR="00E866F0">
              <w:rPr>
                <w:sz w:val="28"/>
                <w:szCs w:val="28"/>
                <w:lang w:val="uk-UA"/>
              </w:rPr>
              <w:t>99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lastRenderedPageBreak/>
        <w:t>Загальні положення</w:t>
      </w: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CF75A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CF75A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="00CF75A1">
        <w:rPr>
          <w:sz w:val="28"/>
          <w:szCs w:val="28"/>
        </w:rPr>
        <w:t>я</w:t>
      </w:r>
      <w:r w:rsidRPr="00C774E4">
        <w:rPr>
          <w:sz w:val="28"/>
          <w:szCs w:val="28"/>
        </w:rPr>
        <w:t xml:space="preserve"> звички.</w:t>
      </w:r>
    </w:p>
    <w:p w:rsidR="0014457F" w:rsidRPr="00C774E4" w:rsidRDefault="0014457F" w:rsidP="00CF75A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CF75A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CF75A1">
      <w:pPr>
        <w:ind w:firstLine="567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AF33E6" w:rsidP="00CF75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яка спроможна позитивно вплинути на 10-15 від</w:t>
      </w:r>
      <w:r w:rsidR="0014457F">
        <w:rPr>
          <w:sz w:val="28"/>
          <w:szCs w:val="28"/>
        </w:rPr>
        <w:t>с</w:t>
      </w:r>
      <w:r w:rsidR="0014457F" w:rsidRPr="00C774E4">
        <w:rPr>
          <w:sz w:val="28"/>
          <w:szCs w:val="28"/>
        </w:rPr>
        <w:t>отків загального обсягу факторів,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що забезпечують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>
        <w:rPr>
          <w:sz w:val="28"/>
          <w:szCs w:val="28"/>
        </w:rPr>
        <w:t>ле і</w:t>
      </w:r>
      <w:r w:rsidR="0014457F"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14457F" w:rsidRDefault="0014457F" w:rsidP="002A73B5">
      <w:pPr>
        <w:jc w:val="both"/>
        <w:rPr>
          <w:sz w:val="28"/>
          <w:szCs w:val="28"/>
        </w:rPr>
      </w:pPr>
    </w:p>
    <w:p w:rsidR="004B18C0" w:rsidRDefault="004B18C0" w:rsidP="002A73B5">
      <w:pPr>
        <w:jc w:val="both"/>
        <w:rPr>
          <w:sz w:val="28"/>
          <w:szCs w:val="28"/>
        </w:rPr>
      </w:pP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CF75A1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lastRenderedPageBreak/>
        <w:t>Мета та основні завдання програми</w:t>
      </w: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387D4B" w:rsidRDefault="0014457F" w:rsidP="002A73B5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 xml:space="preserve">                                      </w:t>
      </w: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C407A8">
        <w:rPr>
          <w:sz w:val="28"/>
          <w:szCs w:val="28"/>
        </w:rPr>
        <w:t>6</w:t>
      </w:r>
      <w:r w:rsidR="00E517E7">
        <w:rPr>
          <w:sz w:val="28"/>
          <w:szCs w:val="28"/>
        </w:rPr>
        <w:t> </w:t>
      </w:r>
      <w:r w:rsidR="00E866F0">
        <w:rPr>
          <w:sz w:val="28"/>
          <w:szCs w:val="28"/>
        </w:rPr>
        <w:t>755</w:t>
      </w:r>
      <w:r w:rsidR="00E517E7">
        <w:rPr>
          <w:sz w:val="28"/>
          <w:szCs w:val="28"/>
        </w:rPr>
        <w:t xml:space="preserve"> </w:t>
      </w:r>
      <w:r w:rsidR="00E866F0">
        <w:rPr>
          <w:sz w:val="28"/>
          <w:szCs w:val="28"/>
        </w:rPr>
        <w:t>399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E866F0">
        <w:rPr>
          <w:sz w:val="28"/>
          <w:szCs w:val="28"/>
        </w:rPr>
        <w:t>4</w:t>
      </w:r>
      <w:r w:rsidR="00E517E7">
        <w:rPr>
          <w:sz w:val="28"/>
          <w:szCs w:val="28"/>
        </w:rPr>
        <w:t> </w:t>
      </w:r>
      <w:r w:rsidR="00E866F0">
        <w:rPr>
          <w:sz w:val="28"/>
          <w:szCs w:val="28"/>
        </w:rPr>
        <w:t>023</w:t>
      </w:r>
      <w:r w:rsidR="00E517E7">
        <w:rPr>
          <w:sz w:val="28"/>
          <w:szCs w:val="28"/>
        </w:rPr>
        <w:t xml:space="preserve"> </w:t>
      </w:r>
      <w:r w:rsidR="00E866F0">
        <w:rPr>
          <w:sz w:val="28"/>
          <w:szCs w:val="28"/>
        </w:rPr>
        <w:t>38</w:t>
      </w:r>
      <w:r w:rsidR="00BF3275">
        <w:rPr>
          <w:sz w:val="28"/>
          <w:szCs w:val="28"/>
        </w:rPr>
        <w:t>8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C407A8" w:rsidRDefault="00386973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</w:t>
      </w:r>
      <w:r w:rsidR="00334B24">
        <w:rPr>
          <w:sz w:val="28"/>
          <w:szCs w:val="28"/>
        </w:rPr>
        <w:t xml:space="preserve">кондиціонера </w:t>
      </w:r>
      <w:r>
        <w:rPr>
          <w:sz w:val="28"/>
          <w:szCs w:val="28"/>
        </w:rPr>
        <w:t xml:space="preserve">для </w:t>
      </w:r>
      <w:r w:rsidR="00922DBF">
        <w:rPr>
          <w:sz w:val="28"/>
          <w:szCs w:val="28"/>
        </w:rPr>
        <w:t>АЗПСМ с.Тинівка</w:t>
      </w:r>
      <w:r w:rsidRPr="00531A18">
        <w:rPr>
          <w:sz w:val="28"/>
          <w:szCs w:val="28"/>
        </w:rPr>
        <w:t xml:space="preserve"> – </w:t>
      </w:r>
      <w:r w:rsidR="006205BA">
        <w:rPr>
          <w:sz w:val="28"/>
          <w:szCs w:val="28"/>
        </w:rPr>
        <w:t>24 199</w:t>
      </w:r>
      <w:r w:rsidRPr="00531A18">
        <w:rPr>
          <w:sz w:val="28"/>
          <w:szCs w:val="28"/>
        </w:rPr>
        <w:t>,00 грн</w:t>
      </w:r>
      <w:r w:rsidR="00C407A8">
        <w:rPr>
          <w:sz w:val="28"/>
          <w:szCs w:val="28"/>
        </w:rPr>
        <w:t>;</w:t>
      </w:r>
    </w:p>
    <w:p w:rsidR="00922DBF" w:rsidRDefault="00922DBF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дрів для </w:t>
      </w:r>
      <w:r w:rsidRPr="00531A18">
        <w:rPr>
          <w:sz w:val="28"/>
          <w:szCs w:val="28"/>
        </w:rPr>
        <w:t>АЗПСМ с.Тинівка</w:t>
      </w:r>
      <w:r>
        <w:rPr>
          <w:sz w:val="28"/>
          <w:szCs w:val="28"/>
        </w:rPr>
        <w:t xml:space="preserve"> – 5</w:t>
      </w:r>
      <w:r w:rsidR="00E866F0">
        <w:rPr>
          <w:sz w:val="28"/>
          <w:szCs w:val="28"/>
        </w:rPr>
        <w:t>8</w:t>
      </w:r>
      <w:r>
        <w:rPr>
          <w:sz w:val="28"/>
          <w:szCs w:val="28"/>
        </w:rPr>
        <w:t> </w:t>
      </w:r>
      <w:r w:rsidR="00E866F0">
        <w:rPr>
          <w:sz w:val="28"/>
          <w:szCs w:val="28"/>
        </w:rPr>
        <w:t>75</w:t>
      </w:r>
      <w:r>
        <w:rPr>
          <w:sz w:val="28"/>
          <w:szCs w:val="28"/>
        </w:rPr>
        <w:t>0,00 грн;</w:t>
      </w:r>
    </w:p>
    <w:p w:rsidR="00D246E0" w:rsidRDefault="00922DBF" w:rsidP="001737AF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07A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виготовлення </w:t>
      </w:r>
      <w:r w:rsidR="00C407A8">
        <w:rPr>
          <w:sz w:val="28"/>
          <w:szCs w:val="28"/>
        </w:rPr>
        <w:t>проектно кошторисн</w:t>
      </w:r>
      <w:r>
        <w:rPr>
          <w:sz w:val="28"/>
          <w:szCs w:val="28"/>
        </w:rPr>
        <w:t>ої</w:t>
      </w:r>
      <w:r w:rsidR="00C407A8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ї</w:t>
      </w:r>
      <w:r w:rsidR="000F4612">
        <w:rPr>
          <w:sz w:val="28"/>
          <w:szCs w:val="28"/>
        </w:rPr>
        <w:t>, експертизи, авторський нагляд</w:t>
      </w:r>
      <w:r w:rsidR="00C407A8">
        <w:rPr>
          <w:sz w:val="28"/>
          <w:szCs w:val="28"/>
        </w:rPr>
        <w:t xml:space="preserve"> та капітальні роботи по утепленню фасаду АЗПСМ с.Тинівка – 2 </w:t>
      </w:r>
      <w:r w:rsidR="000F4612">
        <w:rPr>
          <w:sz w:val="28"/>
          <w:szCs w:val="28"/>
        </w:rPr>
        <w:t>649</w:t>
      </w:r>
      <w:r w:rsidR="00C407A8">
        <w:rPr>
          <w:sz w:val="28"/>
          <w:szCs w:val="28"/>
        </w:rPr>
        <w:t> </w:t>
      </w:r>
      <w:r w:rsidR="000F4612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0F4612">
        <w:rPr>
          <w:sz w:val="28"/>
          <w:szCs w:val="28"/>
        </w:rPr>
        <w:t>2</w:t>
      </w:r>
      <w:r w:rsidR="00C407A8">
        <w:rPr>
          <w:sz w:val="28"/>
          <w:szCs w:val="28"/>
        </w:rPr>
        <w:t>,00 грн</w:t>
      </w:r>
      <w:r w:rsidR="00D246E0">
        <w:rPr>
          <w:sz w:val="28"/>
          <w:szCs w:val="28"/>
        </w:rPr>
        <w:t>.</w:t>
      </w:r>
    </w:p>
    <w:p w:rsidR="00673C5F" w:rsidRDefault="00673C5F" w:rsidP="00673C5F">
      <w:pPr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B247BC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Pr="00D12246">
        <w:rPr>
          <w:sz w:val="28"/>
          <w:szCs w:val="28"/>
          <w:shd w:val="clear" w:color="auto" w:fill="FFFFFF"/>
        </w:rPr>
        <w:t xml:space="preserve">,00 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922DBF">
        <w:rPr>
          <w:sz w:val="28"/>
          <w:szCs w:val="28"/>
          <w:shd w:val="clear" w:color="auto" w:fill="FFFFFF"/>
        </w:rPr>
        <w:t>2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922DBF" w:rsidRPr="00D12246" w:rsidRDefault="00922DBF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</w:rPr>
        <w:t>- на придбання медикаментів – 300 000,00 грн.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250 0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3B5407">
        <w:rPr>
          <w:bCs/>
          <w:sz w:val="28"/>
          <w:szCs w:val="28"/>
          <w:lang w:eastAsia="uk-UA"/>
        </w:rPr>
        <w:t>2</w:t>
      </w:r>
      <w:r w:rsidR="00382203">
        <w:rPr>
          <w:bCs/>
          <w:sz w:val="28"/>
          <w:szCs w:val="28"/>
          <w:lang w:eastAsia="uk-UA"/>
        </w:rPr>
        <w:t xml:space="preserve"> 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106 1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="00922DBF">
        <w:rPr>
          <w:sz w:val="28"/>
          <w:szCs w:val="28"/>
          <w:shd w:val="clear" w:color="auto" w:fill="FFFFFF"/>
        </w:rPr>
        <w:t>грн.</w:t>
      </w:r>
      <w:r w:rsidRPr="00D12246">
        <w:rPr>
          <w:sz w:val="28"/>
          <w:szCs w:val="28"/>
          <w:shd w:val="clear" w:color="auto" w:fill="FFFFFF"/>
        </w:rPr>
        <w:t>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E86023" w:rsidRPr="00D12246">
        <w:rPr>
          <w:sz w:val="28"/>
          <w:szCs w:val="28"/>
          <w:lang w:val="ru-RU"/>
        </w:rPr>
        <w:t xml:space="preserve">  </w:t>
      </w:r>
      <w:r w:rsidRPr="00D12246">
        <w:rPr>
          <w:sz w:val="28"/>
          <w:szCs w:val="28"/>
        </w:rPr>
        <w:t xml:space="preserve"> 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3B5407">
        <w:rPr>
          <w:bCs/>
          <w:sz w:val="28"/>
          <w:szCs w:val="28"/>
          <w:lang w:eastAsia="uk-UA"/>
        </w:rPr>
        <w:t>81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3B5407">
        <w:rPr>
          <w:bCs/>
          <w:sz w:val="28"/>
          <w:szCs w:val="28"/>
          <w:lang w:eastAsia="uk-UA"/>
        </w:rPr>
        <w:t>8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 w:rsidR="00922DBF">
        <w:rPr>
          <w:sz w:val="28"/>
          <w:szCs w:val="28"/>
        </w:rPr>
        <w:t>.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Pr="00D76A10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D76A10">
        <w:rPr>
          <w:b/>
          <w:i/>
          <w:sz w:val="28"/>
          <w:szCs w:val="28"/>
        </w:rPr>
        <w:t>Заходи щодо виконання програми</w:t>
      </w:r>
    </w:p>
    <w:p w:rsidR="0014457F" w:rsidRPr="00D76A10" w:rsidRDefault="0014457F" w:rsidP="002A73B5">
      <w:pPr>
        <w:ind w:firstLine="708"/>
        <w:jc w:val="both"/>
        <w:rPr>
          <w:sz w:val="28"/>
          <w:szCs w:val="28"/>
        </w:rPr>
      </w:pPr>
      <w:r w:rsidRPr="00D76A10">
        <w:rPr>
          <w:sz w:val="28"/>
          <w:szCs w:val="28"/>
        </w:rPr>
        <w:t xml:space="preserve">Забезпечення </w:t>
      </w:r>
      <w:r w:rsidR="007B4DBF" w:rsidRPr="00D76A10">
        <w:rPr>
          <w:sz w:val="28"/>
          <w:szCs w:val="28"/>
        </w:rPr>
        <w:t>ресурсами,</w:t>
      </w:r>
      <w:r w:rsidR="00AF33E6" w:rsidRPr="00D76A10">
        <w:rPr>
          <w:sz w:val="28"/>
          <w:szCs w:val="28"/>
        </w:rPr>
        <w:t xml:space="preserve"> необхідними для </w:t>
      </w:r>
      <w:r w:rsidR="00E1341A" w:rsidRPr="00D76A10">
        <w:rPr>
          <w:sz w:val="28"/>
          <w:szCs w:val="28"/>
        </w:rPr>
        <w:t xml:space="preserve">утримання </w:t>
      </w:r>
      <w:r w:rsidR="00631220" w:rsidRPr="00D76A10">
        <w:rPr>
          <w:sz w:val="28"/>
          <w:szCs w:val="28"/>
        </w:rPr>
        <w:t xml:space="preserve">комунального некомерційного підприємства </w:t>
      </w:r>
      <w:r w:rsidR="009C73E5" w:rsidRPr="00D76A10">
        <w:rPr>
          <w:sz w:val="28"/>
          <w:szCs w:val="28"/>
          <w:shd w:val="clear" w:color="auto" w:fill="FFFFFF"/>
        </w:rPr>
        <w:t xml:space="preserve">"Жашківська багатопрофільна лікарня" Жашківської міської ради  </w:t>
      </w:r>
      <w:r w:rsidR="00E1341A" w:rsidRPr="00D76A10">
        <w:rPr>
          <w:sz w:val="28"/>
          <w:szCs w:val="28"/>
        </w:rPr>
        <w:t xml:space="preserve">та некомерційного підприємства </w:t>
      </w:r>
      <w:r w:rsidR="009C73E5" w:rsidRPr="00D76A10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 w:rsidRPr="00D76A10">
        <w:rPr>
          <w:sz w:val="28"/>
          <w:szCs w:val="28"/>
        </w:rPr>
        <w:t xml:space="preserve">для здійснення ними </w:t>
      </w:r>
      <w:r w:rsidR="00EB7678" w:rsidRPr="00D76A10">
        <w:rPr>
          <w:sz w:val="28"/>
          <w:szCs w:val="28"/>
        </w:rPr>
        <w:t>делегованих видатків у</w:t>
      </w:r>
      <w:r w:rsidR="009C73E5" w:rsidRPr="00D76A10">
        <w:rPr>
          <w:sz w:val="28"/>
          <w:szCs w:val="28"/>
        </w:rPr>
        <w:t xml:space="preserve"> сфері охорони здоров’</w:t>
      </w:r>
      <w:r w:rsidR="00EB7678" w:rsidRPr="00D76A10">
        <w:rPr>
          <w:sz w:val="28"/>
          <w:szCs w:val="28"/>
        </w:rPr>
        <w:t xml:space="preserve">я за рахунок </w:t>
      </w:r>
      <w:r w:rsidR="00631220" w:rsidRPr="00D76A10">
        <w:rPr>
          <w:sz w:val="28"/>
          <w:szCs w:val="28"/>
        </w:rPr>
        <w:t xml:space="preserve">коштів </w:t>
      </w:r>
      <w:r w:rsidR="009C73E5" w:rsidRPr="00D76A10">
        <w:rPr>
          <w:sz w:val="28"/>
          <w:szCs w:val="28"/>
        </w:rPr>
        <w:t xml:space="preserve">субвенції з державного та </w:t>
      </w:r>
      <w:r w:rsidR="00BB1D3A" w:rsidRPr="00D76A10">
        <w:rPr>
          <w:sz w:val="28"/>
          <w:szCs w:val="28"/>
        </w:rPr>
        <w:t xml:space="preserve">бюджету </w:t>
      </w:r>
      <w:r w:rsidR="00E1341A" w:rsidRPr="00D76A10">
        <w:rPr>
          <w:sz w:val="28"/>
          <w:szCs w:val="28"/>
        </w:rPr>
        <w:t xml:space="preserve"> </w:t>
      </w:r>
      <w:r w:rsidR="004B18C0" w:rsidRPr="00D76A10">
        <w:rPr>
          <w:sz w:val="28"/>
          <w:szCs w:val="28"/>
        </w:rPr>
        <w:t>Баштечківської сільської</w:t>
      </w:r>
      <w:r w:rsidR="00631220" w:rsidRPr="00D76A10">
        <w:rPr>
          <w:sz w:val="28"/>
          <w:szCs w:val="28"/>
        </w:rPr>
        <w:t xml:space="preserve"> </w:t>
      </w:r>
      <w:r w:rsidR="009C73E5" w:rsidRPr="00D76A10">
        <w:rPr>
          <w:sz w:val="28"/>
          <w:szCs w:val="28"/>
        </w:rPr>
        <w:t>територіальної громади</w:t>
      </w:r>
      <w:r w:rsidRPr="00D76A10">
        <w:rPr>
          <w:sz w:val="28"/>
          <w:szCs w:val="28"/>
        </w:rPr>
        <w:t>.</w:t>
      </w:r>
    </w:p>
    <w:p w:rsidR="00D215D8" w:rsidRPr="00D76A10" w:rsidRDefault="00D215D8" w:rsidP="002A73B5">
      <w:pPr>
        <w:ind w:left="360" w:firstLine="348"/>
        <w:jc w:val="both"/>
        <w:rPr>
          <w:sz w:val="28"/>
          <w:szCs w:val="28"/>
        </w:rPr>
      </w:pPr>
    </w:p>
    <w:p w:rsidR="006402C6" w:rsidRDefault="006402C6" w:rsidP="002A73B5">
      <w:pPr>
        <w:ind w:left="360" w:firstLine="348"/>
        <w:jc w:val="both"/>
        <w:rPr>
          <w:sz w:val="28"/>
          <w:szCs w:val="28"/>
        </w:rPr>
      </w:pPr>
    </w:p>
    <w:p w:rsidR="00BC1245" w:rsidRDefault="00BC1245" w:rsidP="002A73B5">
      <w:pPr>
        <w:ind w:left="360" w:firstLine="348"/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7A4A30">
      <w:pgSz w:w="11906" w:h="16838"/>
      <w:pgMar w:top="1258" w:right="707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C3E05"/>
    <w:multiLevelType w:val="multilevel"/>
    <w:tmpl w:val="BE10F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  <w:color w:val="auto"/>
      </w:rPr>
    </w:lvl>
  </w:abstractNum>
  <w:abstractNum w:abstractNumId="4" w15:restartNumberingAfterBreak="0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B167A4C"/>
    <w:multiLevelType w:val="hybridMultilevel"/>
    <w:tmpl w:val="FCB2BC68"/>
    <w:lvl w:ilvl="0" w:tplc="CDA60FC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7E66"/>
    <w:rsid w:val="00033C30"/>
    <w:rsid w:val="000379E8"/>
    <w:rsid w:val="00056D84"/>
    <w:rsid w:val="000618E3"/>
    <w:rsid w:val="00077268"/>
    <w:rsid w:val="000852A7"/>
    <w:rsid w:val="000B15FD"/>
    <w:rsid w:val="000B2053"/>
    <w:rsid w:val="000C2AE7"/>
    <w:rsid w:val="000F26E2"/>
    <w:rsid w:val="000F4612"/>
    <w:rsid w:val="00130710"/>
    <w:rsid w:val="00133E41"/>
    <w:rsid w:val="0013487E"/>
    <w:rsid w:val="0014457F"/>
    <w:rsid w:val="00154548"/>
    <w:rsid w:val="001737AF"/>
    <w:rsid w:val="00182284"/>
    <w:rsid w:val="001B0418"/>
    <w:rsid w:val="001B1A0C"/>
    <w:rsid w:val="001D339D"/>
    <w:rsid w:val="001E26A4"/>
    <w:rsid w:val="00251AEA"/>
    <w:rsid w:val="002615D3"/>
    <w:rsid w:val="00287C94"/>
    <w:rsid w:val="002A6C90"/>
    <w:rsid w:val="002A73B5"/>
    <w:rsid w:val="002B1453"/>
    <w:rsid w:val="002C18B1"/>
    <w:rsid w:val="003012D3"/>
    <w:rsid w:val="003138FE"/>
    <w:rsid w:val="00334B24"/>
    <w:rsid w:val="00340775"/>
    <w:rsid w:val="00365BEC"/>
    <w:rsid w:val="00382203"/>
    <w:rsid w:val="00386973"/>
    <w:rsid w:val="00387D4B"/>
    <w:rsid w:val="003A3CA7"/>
    <w:rsid w:val="003A6B60"/>
    <w:rsid w:val="003B1A6F"/>
    <w:rsid w:val="003B4FF1"/>
    <w:rsid w:val="003B5407"/>
    <w:rsid w:val="003C5CC3"/>
    <w:rsid w:val="003F5EFD"/>
    <w:rsid w:val="00412422"/>
    <w:rsid w:val="00436F64"/>
    <w:rsid w:val="00443E56"/>
    <w:rsid w:val="004566C2"/>
    <w:rsid w:val="0046139E"/>
    <w:rsid w:val="00487B60"/>
    <w:rsid w:val="004A61DC"/>
    <w:rsid w:val="004B18C0"/>
    <w:rsid w:val="004B2435"/>
    <w:rsid w:val="004E2624"/>
    <w:rsid w:val="00505B2A"/>
    <w:rsid w:val="005118E8"/>
    <w:rsid w:val="00520C13"/>
    <w:rsid w:val="00523841"/>
    <w:rsid w:val="005276FB"/>
    <w:rsid w:val="00531A18"/>
    <w:rsid w:val="00552D23"/>
    <w:rsid w:val="005670CD"/>
    <w:rsid w:val="00577F28"/>
    <w:rsid w:val="005958E1"/>
    <w:rsid w:val="005B5B35"/>
    <w:rsid w:val="005F522C"/>
    <w:rsid w:val="00605E6D"/>
    <w:rsid w:val="00611D21"/>
    <w:rsid w:val="006205BA"/>
    <w:rsid w:val="00631220"/>
    <w:rsid w:val="00632888"/>
    <w:rsid w:val="00632C56"/>
    <w:rsid w:val="006402C6"/>
    <w:rsid w:val="006460C9"/>
    <w:rsid w:val="00656137"/>
    <w:rsid w:val="00670A6B"/>
    <w:rsid w:val="00673C5F"/>
    <w:rsid w:val="006776CF"/>
    <w:rsid w:val="0069604F"/>
    <w:rsid w:val="006A5265"/>
    <w:rsid w:val="006D771C"/>
    <w:rsid w:val="006F1C5C"/>
    <w:rsid w:val="006F666D"/>
    <w:rsid w:val="006F7943"/>
    <w:rsid w:val="007279E9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D0EF3"/>
    <w:rsid w:val="008E4921"/>
    <w:rsid w:val="00905213"/>
    <w:rsid w:val="00922DBF"/>
    <w:rsid w:val="00931387"/>
    <w:rsid w:val="009543BC"/>
    <w:rsid w:val="0096272B"/>
    <w:rsid w:val="009628E8"/>
    <w:rsid w:val="0096508B"/>
    <w:rsid w:val="009863D4"/>
    <w:rsid w:val="009B50A6"/>
    <w:rsid w:val="009C73E5"/>
    <w:rsid w:val="009E1AA4"/>
    <w:rsid w:val="009E311F"/>
    <w:rsid w:val="00A14E0D"/>
    <w:rsid w:val="00A277C1"/>
    <w:rsid w:val="00A27D87"/>
    <w:rsid w:val="00A416C3"/>
    <w:rsid w:val="00A67CC2"/>
    <w:rsid w:val="00A8450B"/>
    <w:rsid w:val="00A9549E"/>
    <w:rsid w:val="00A96E1C"/>
    <w:rsid w:val="00AA00B5"/>
    <w:rsid w:val="00AA488A"/>
    <w:rsid w:val="00AB1F0F"/>
    <w:rsid w:val="00AC64B3"/>
    <w:rsid w:val="00AD56EC"/>
    <w:rsid w:val="00AD67C3"/>
    <w:rsid w:val="00AF0163"/>
    <w:rsid w:val="00AF33E6"/>
    <w:rsid w:val="00B03684"/>
    <w:rsid w:val="00B07418"/>
    <w:rsid w:val="00B20597"/>
    <w:rsid w:val="00B247BC"/>
    <w:rsid w:val="00B678CF"/>
    <w:rsid w:val="00B735EC"/>
    <w:rsid w:val="00B91448"/>
    <w:rsid w:val="00BA0088"/>
    <w:rsid w:val="00BA2648"/>
    <w:rsid w:val="00BB1D3A"/>
    <w:rsid w:val="00BC1245"/>
    <w:rsid w:val="00BF3188"/>
    <w:rsid w:val="00BF3249"/>
    <w:rsid w:val="00BF3275"/>
    <w:rsid w:val="00C0386E"/>
    <w:rsid w:val="00C407A8"/>
    <w:rsid w:val="00C45A75"/>
    <w:rsid w:val="00C563B5"/>
    <w:rsid w:val="00C6585C"/>
    <w:rsid w:val="00C91330"/>
    <w:rsid w:val="00CA76AE"/>
    <w:rsid w:val="00CB35CF"/>
    <w:rsid w:val="00CF75A1"/>
    <w:rsid w:val="00D00734"/>
    <w:rsid w:val="00D12246"/>
    <w:rsid w:val="00D20F12"/>
    <w:rsid w:val="00D215D8"/>
    <w:rsid w:val="00D246E0"/>
    <w:rsid w:val="00D41980"/>
    <w:rsid w:val="00D46B77"/>
    <w:rsid w:val="00D73D71"/>
    <w:rsid w:val="00D76A10"/>
    <w:rsid w:val="00D86B77"/>
    <w:rsid w:val="00D9646F"/>
    <w:rsid w:val="00D964A1"/>
    <w:rsid w:val="00D97436"/>
    <w:rsid w:val="00DB2715"/>
    <w:rsid w:val="00DB3FAE"/>
    <w:rsid w:val="00DB61DC"/>
    <w:rsid w:val="00DC05B8"/>
    <w:rsid w:val="00DC137C"/>
    <w:rsid w:val="00DC69BD"/>
    <w:rsid w:val="00DC7CE0"/>
    <w:rsid w:val="00DE0975"/>
    <w:rsid w:val="00DE57E3"/>
    <w:rsid w:val="00DE73F2"/>
    <w:rsid w:val="00E10A40"/>
    <w:rsid w:val="00E1341A"/>
    <w:rsid w:val="00E14317"/>
    <w:rsid w:val="00E2224C"/>
    <w:rsid w:val="00E32392"/>
    <w:rsid w:val="00E34FFD"/>
    <w:rsid w:val="00E40768"/>
    <w:rsid w:val="00E517E7"/>
    <w:rsid w:val="00E73876"/>
    <w:rsid w:val="00E86023"/>
    <w:rsid w:val="00E866F0"/>
    <w:rsid w:val="00EA1CBD"/>
    <w:rsid w:val="00EB7678"/>
    <w:rsid w:val="00EF42EA"/>
    <w:rsid w:val="00F108A5"/>
    <w:rsid w:val="00F32546"/>
    <w:rsid w:val="00F42097"/>
    <w:rsid w:val="00F421EB"/>
    <w:rsid w:val="00FA486D"/>
    <w:rsid w:val="00F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D01E8"/>
  <w15:docId w15:val="{35AFE953-F015-491D-9C72-793D8379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531A1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3763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</cp:lastModifiedBy>
  <cp:revision>8</cp:revision>
  <cp:lastPrinted>2025-10-09T11:57:00Z</cp:lastPrinted>
  <dcterms:created xsi:type="dcterms:W3CDTF">2025-09-29T11:59:00Z</dcterms:created>
  <dcterms:modified xsi:type="dcterms:W3CDTF">2025-10-17T14:11:00Z</dcterms:modified>
</cp:coreProperties>
</file>