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A5DC2" w:rsidRDefault="005A5DC2" w:rsidP="005A5DC2">
      <w:pPr>
        <w:widowControl w:val="0"/>
        <w:suppressAutoHyphens w:val="0"/>
        <w:autoSpaceDE w:val="0"/>
        <w:autoSpaceDN w:val="0"/>
        <w:adjustRightInd w:val="0"/>
        <w:spacing w:line="240" w:lineRule="auto"/>
        <w:rPr>
          <w:sz w:val="28"/>
          <w:szCs w:val="28"/>
          <w:lang w:eastAsia="uk-UA"/>
        </w:rPr>
      </w:pPr>
    </w:p>
    <w:p w:rsidR="002E1352" w:rsidRPr="003017BE" w:rsidRDefault="002E1352" w:rsidP="002E1352">
      <w:pPr>
        <w:widowControl w:val="0"/>
        <w:suppressAutoHyphens w:val="0"/>
        <w:autoSpaceDE w:val="0"/>
        <w:autoSpaceDN w:val="0"/>
        <w:adjustRightInd w:val="0"/>
        <w:spacing w:line="240" w:lineRule="auto"/>
        <w:rPr>
          <w:sz w:val="28"/>
          <w:szCs w:val="28"/>
          <w:lang w:eastAsia="uk-UA"/>
        </w:rPr>
      </w:pPr>
      <w:r w:rsidRPr="003017BE">
        <w:rPr>
          <w:lang w:eastAsia="ru-RU"/>
        </w:rPr>
        <w:t xml:space="preserve">                                                                           </w:t>
      </w:r>
      <w:r w:rsidR="0012458E">
        <w:rPr>
          <w:lang w:eastAsia="ru-RU"/>
        </w:rPr>
        <w:t xml:space="preserve"> </w:t>
      </w:r>
      <w:r w:rsidR="00C458E6" w:rsidRPr="003017BE">
        <w:rPr>
          <w:sz w:val="28"/>
          <w:szCs w:val="28"/>
          <w:lang w:eastAsia="uk-UA"/>
        </w:rPr>
        <w:t>ЗАТВЕРДЖЕНО</w:t>
      </w:r>
    </w:p>
    <w:p w:rsidR="002E1352" w:rsidRPr="003017BE" w:rsidRDefault="002E1352" w:rsidP="002E1352">
      <w:pPr>
        <w:widowControl w:val="0"/>
        <w:suppressAutoHyphens w:val="0"/>
        <w:autoSpaceDE w:val="0"/>
        <w:autoSpaceDN w:val="0"/>
        <w:adjustRightInd w:val="0"/>
        <w:spacing w:line="240" w:lineRule="auto"/>
        <w:rPr>
          <w:sz w:val="28"/>
          <w:szCs w:val="28"/>
          <w:lang w:eastAsia="uk-UA"/>
        </w:rPr>
      </w:pP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00C458E6" w:rsidRPr="003017BE">
        <w:rPr>
          <w:sz w:val="28"/>
          <w:szCs w:val="28"/>
          <w:lang w:eastAsia="uk-UA"/>
        </w:rPr>
        <w:tab/>
      </w:r>
      <w:r w:rsidRPr="003017BE">
        <w:rPr>
          <w:sz w:val="28"/>
          <w:szCs w:val="28"/>
          <w:lang w:eastAsia="uk-UA"/>
        </w:rPr>
        <w:t xml:space="preserve">рішення </w:t>
      </w:r>
      <w:r w:rsidR="00131E14" w:rsidRPr="003017BE">
        <w:rPr>
          <w:sz w:val="28"/>
          <w:szCs w:val="28"/>
          <w:lang w:eastAsia="uk-UA"/>
        </w:rPr>
        <w:t>Баштечківської</w:t>
      </w:r>
      <w:r w:rsidRPr="003017BE">
        <w:rPr>
          <w:sz w:val="28"/>
          <w:szCs w:val="28"/>
          <w:lang w:eastAsia="uk-UA"/>
        </w:rPr>
        <w:t xml:space="preserve"> </w:t>
      </w:r>
      <w:r w:rsidR="00131E14" w:rsidRPr="003017BE">
        <w:rPr>
          <w:sz w:val="28"/>
          <w:szCs w:val="28"/>
          <w:lang w:eastAsia="uk-UA"/>
        </w:rPr>
        <w:t>сільської</w:t>
      </w:r>
      <w:r w:rsidRPr="003017BE">
        <w:rPr>
          <w:sz w:val="28"/>
          <w:szCs w:val="28"/>
          <w:lang w:eastAsia="uk-UA"/>
        </w:rPr>
        <w:t xml:space="preserve"> ради</w:t>
      </w:r>
    </w:p>
    <w:p w:rsidR="002E1352" w:rsidRPr="003017BE" w:rsidRDefault="002E1352" w:rsidP="002E1352">
      <w:pPr>
        <w:widowControl w:val="0"/>
        <w:suppressAutoHyphens w:val="0"/>
        <w:autoSpaceDE w:val="0"/>
        <w:autoSpaceDN w:val="0"/>
        <w:adjustRightInd w:val="0"/>
        <w:spacing w:line="240" w:lineRule="auto"/>
        <w:rPr>
          <w:sz w:val="28"/>
          <w:szCs w:val="28"/>
          <w:lang w:eastAsia="uk-UA"/>
        </w:rPr>
      </w:pP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Pr="003017BE">
        <w:rPr>
          <w:sz w:val="28"/>
          <w:szCs w:val="28"/>
          <w:lang w:eastAsia="uk-UA"/>
        </w:rPr>
        <w:tab/>
      </w:r>
      <w:r w:rsidR="00C458E6" w:rsidRPr="003017BE">
        <w:rPr>
          <w:sz w:val="28"/>
          <w:szCs w:val="28"/>
          <w:lang w:eastAsia="uk-UA"/>
        </w:rPr>
        <w:t xml:space="preserve">від </w:t>
      </w:r>
      <w:r w:rsidR="001721E7">
        <w:rPr>
          <w:sz w:val="28"/>
          <w:szCs w:val="28"/>
          <w:lang w:val="en-US"/>
        </w:rPr>
        <w:t>09</w:t>
      </w:r>
      <w:r w:rsidR="00C458E6" w:rsidRPr="003017BE">
        <w:rPr>
          <w:sz w:val="28"/>
          <w:szCs w:val="28"/>
        </w:rPr>
        <w:t>.</w:t>
      </w:r>
      <w:r w:rsidR="00042AFD" w:rsidRPr="003017BE">
        <w:rPr>
          <w:sz w:val="28"/>
          <w:szCs w:val="28"/>
        </w:rPr>
        <w:t>1</w:t>
      </w:r>
      <w:r w:rsidR="00C458E6" w:rsidRPr="003017BE">
        <w:rPr>
          <w:sz w:val="28"/>
          <w:szCs w:val="28"/>
        </w:rPr>
        <w:t>0.2025</w:t>
      </w:r>
      <w:r w:rsidRPr="003017BE">
        <w:rPr>
          <w:sz w:val="28"/>
          <w:szCs w:val="28"/>
          <w:lang w:eastAsia="uk-UA"/>
        </w:rPr>
        <w:t xml:space="preserve"> № </w:t>
      </w:r>
      <w:r w:rsidR="00042AFD" w:rsidRPr="003017BE">
        <w:rPr>
          <w:sz w:val="28"/>
          <w:szCs w:val="28"/>
        </w:rPr>
        <w:t>45</w:t>
      </w:r>
      <w:r w:rsidR="00C458E6" w:rsidRPr="003017BE">
        <w:rPr>
          <w:sz w:val="28"/>
          <w:szCs w:val="28"/>
        </w:rPr>
        <w:t xml:space="preserve"> - </w:t>
      </w:r>
      <w:r w:rsidR="001721E7">
        <w:rPr>
          <w:sz w:val="28"/>
          <w:szCs w:val="28"/>
          <w:lang w:val="en-US"/>
        </w:rPr>
        <w:t>9</w:t>
      </w:r>
      <w:r w:rsidR="00C458E6" w:rsidRPr="003017BE">
        <w:rPr>
          <w:sz w:val="28"/>
          <w:szCs w:val="28"/>
        </w:rPr>
        <w:t>/</w:t>
      </w:r>
      <w:r w:rsidR="00C458E6" w:rsidRPr="003017BE">
        <w:rPr>
          <w:sz w:val="28"/>
          <w:szCs w:val="28"/>
          <w:lang w:val="en-US"/>
        </w:rPr>
        <w:t>VIII</w:t>
      </w:r>
    </w:p>
    <w:p w:rsidR="00C458E6" w:rsidRPr="003017BE" w:rsidRDefault="00C458E6" w:rsidP="002E1352">
      <w:pPr>
        <w:widowControl w:val="0"/>
        <w:suppressAutoHyphens w:val="0"/>
        <w:autoSpaceDE w:val="0"/>
        <w:autoSpaceDN w:val="0"/>
        <w:adjustRightInd w:val="0"/>
        <w:spacing w:line="240" w:lineRule="auto"/>
        <w:jc w:val="center"/>
        <w:rPr>
          <w:spacing w:val="-1"/>
          <w:sz w:val="28"/>
          <w:szCs w:val="28"/>
        </w:rPr>
      </w:pPr>
    </w:p>
    <w:p w:rsidR="002E1352" w:rsidRPr="003017BE" w:rsidRDefault="002E1352" w:rsidP="002E1352">
      <w:pPr>
        <w:widowControl w:val="0"/>
        <w:suppressAutoHyphens w:val="0"/>
        <w:autoSpaceDE w:val="0"/>
        <w:autoSpaceDN w:val="0"/>
        <w:adjustRightInd w:val="0"/>
        <w:spacing w:line="240" w:lineRule="auto"/>
        <w:jc w:val="center"/>
        <w:rPr>
          <w:spacing w:val="-1"/>
          <w:sz w:val="28"/>
          <w:szCs w:val="28"/>
        </w:rPr>
      </w:pPr>
      <w:r w:rsidRPr="003017BE">
        <w:rPr>
          <w:spacing w:val="-1"/>
          <w:sz w:val="28"/>
          <w:szCs w:val="28"/>
        </w:rPr>
        <w:t>Програма</w:t>
      </w:r>
    </w:p>
    <w:p w:rsidR="002E1352" w:rsidRPr="003017BE" w:rsidRDefault="002E1352" w:rsidP="002E1352">
      <w:pPr>
        <w:pStyle w:val="1a"/>
        <w:spacing w:after="620"/>
        <w:jc w:val="center"/>
        <w:rPr>
          <w:color w:val="auto"/>
          <w:lang w:eastAsia="ru-RU"/>
        </w:rPr>
      </w:pPr>
      <w:r w:rsidRPr="003017BE">
        <w:rPr>
          <w:color w:val="auto"/>
          <w:lang w:bidi="ru-RU"/>
        </w:rPr>
        <w:t xml:space="preserve">забезпечення </w:t>
      </w:r>
      <w:r w:rsidRPr="003017BE">
        <w:rPr>
          <w:color w:val="auto"/>
        </w:rPr>
        <w:t xml:space="preserve">мобілізаційної підготовки </w:t>
      </w:r>
      <w:r w:rsidRPr="003017BE">
        <w:rPr>
          <w:color w:val="auto"/>
          <w:lang w:bidi="ru-RU"/>
        </w:rPr>
        <w:t xml:space="preserve">та проведення </w:t>
      </w:r>
      <w:r w:rsidRPr="003017BE">
        <w:rPr>
          <w:color w:val="auto"/>
        </w:rPr>
        <w:t xml:space="preserve">часткової мобілізації </w:t>
      </w:r>
      <w:r w:rsidRPr="003017BE">
        <w:rPr>
          <w:color w:val="auto"/>
          <w:lang w:bidi="ru-RU"/>
        </w:rPr>
        <w:t xml:space="preserve">на </w:t>
      </w:r>
      <w:r w:rsidRPr="003017BE">
        <w:rPr>
          <w:color w:val="auto"/>
        </w:rPr>
        <w:t xml:space="preserve">території </w:t>
      </w:r>
      <w:r w:rsidR="00131E14" w:rsidRPr="003017BE">
        <w:rPr>
          <w:color w:val="auto"/>
        </w:rPr>
        <w:t>Баштечківської</w:t>
      </w:r>
      <w:r w:rsidRPr="003017BE">
        <w:rPr>
          <w:color w:val="auto"/>
        </w:rPr>
        <w:t xml:space="preserve"> </w:t>
      </w:r>
      <w:r w:rsidR="00131E14" w:rsidRPr="003017BE">
        <w:rPr>
          <w:color w:val="auto"/>
        </w:rPr>
        <w:t>сільської</w:t>
      </w:r>
      <w:r w:rsidRPr="003017BE">
        <w:rPr>
          <w:color w:val="auto"/>
        </w:rPr>
        <w:t xml:space="preserve"> територіальної </w:t>
      </w:r>
      <w:r w:rsidRPr="003017BE">
        <w:rPr>
          <w:color w:val="auto"/>
          <w:lang w:bidi="ru-RU"/>
        </w:rPr>
        <w:t>громади на 2025-2027 роки</w:t>
      </w:r>
    </w:p>
    <w:p w:rsidR="005A5DC2" w:rsidRPr="003017BE" w:rsidRDefault="005A5DC2" w:rsidP="005A5DC2">
      <w:pPr>
        <w:pStyle w:val="1a"/>
        <w:spacing w:after="620"/>
        <w:jc w:val="center"/>
        <w:rPr>
          <w:color w:val="auto"/>
          <w:sz w:val="26"/>
          <w:szCs w:val="26"/>
        </w:rPr>
      </w:pPr>
      <w:r w:rsidRPr="003017BE">
        <w:rPr>
          <w:b/>
          <w:bCs/>
          <w:color w:val="auto"/>
          <w:sz w:val="26"/>
          <w:szCs w:val="26"/>
          <w:lang w:val="ru-RU" w:eastAsia="ru-RU" w:bidi="ru-RU"/>
        </w:rPr>
        <w:t>1. Паспорт програми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2837"/>
        <w:gridCol w:w="1416"/>
        <w:gridCol w:w="2693"/>
        <w:gridCol w:w="2760"/>
      </w:tblGrid>
      <w:tr w:rsidR="005A5DC2" w:rsidRPr="003017BE">
        <w:trPr>
          <w:trHeight w:hRule="exact" w:val="614"/>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1</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Ініціатор розроблення Програми</w:t>
            </w:r>
          </w:p>
        </w:tc>
        <w:tc>
          <w:tcPr>
            <w:tcW w:w="6869" w:type="dxa"/>
            <w:gridSpan w:val="3"/>
            <w:tcBorders>
              <w:top w:val="single" w:sz="4" w:space="0" w:color="auto"/>
              <w:left w:val="single" w:sz="4" w:space="0" w:color="auto"/>
              <w:right w:val="single" w:sz="4" w:space="0" w:color="auto"/>
            </w:tcBorders>
            <w:shd w:val="clear" w:color="auto" w:fill="auto"/>
            <w:vAlign w:val="bottom"/>
          </w:tcPr>
          <w:p w:rsidR="005A5DC2" w:rsidRPr="003017BE" w:rsidRDefault="000841E1" w:rsidP="000841E1">
            <w:pPr>
              <w:pStyle w:val="afd"/>
              <w:jc w:val="center"/>
              <w:rPr>
                <w:color w:val="auto"/>
                <w:sz w:val="26"/>
                <w:szCs w:val="26"/>
              </w:rPr>
            </w:pPr>
            <w:r w:rsidRPr="003017BE">
              <w:rPr>
                <w:color w:val="auto"/>
                <w:sz w:val="26"/>
                <w:szCs w:val="26"/>
              </w:rPr>
              <w:t>Баштечківська</w:t>
            </w:r>
            <w:r w:rsidR="005A5DC2" w:rsidRPr="003017BE">
              <w:rPr>
                <w:color w:val="auto"/>
                <w:sz w:val="26"/>
                <w:szCs w:val="26"/>
              </w:rPr>
              <w:t xml:space="preserve"> </w:t>
            </w:r>
            <w:r w:rsidRPr="003017BE">
              <w:rPr>
                <w:color w:val="auto"/>
                <w:sz w:val="26"/>
                <w:szCs w:val="26"/>
              </w:rPr>
              <w:t>сільська</w:t>
            </w:r>
            <w:r w:rsidR="005A5DC2" w:rsidRPr="003017BE">
              <w:rPr>
                <w:color w:val="auto"/>
                <w:sz w:val="26"/>
                <w:szCs w:val="26"/>
              </w:rPr>
              <w:t xml:space="preserve"> територіальна громада, 2-й відділ Уманського районного ТЦК та </w:t>
            </w:r>
            <w:r w:rsidR="005A5DC2" w:rsidRPr="003017BE">
              <w:rPr>
                <w:color w:val="auto"/>
                <w:sz w:val="26"/>
                <w:szCs w:val="26"/>
                <w:lang w:eastAsia="ru-RU" w:bidi="ru-RU"/>
              </w:rPr>
              <w:t>СП</w:t>
            </w:r>
          </w:p>
        </w:tc>
      </w:tr>
      <w:tr w:rsidR="005A5DC2" w:rsidRPr="003017BE">
        <w:trPr>
          <w:trHeight w:hRule="exact" w:val="887"/>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2</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Головний розробник      Програми</w:t>
            </w:r>
          </w:p>
        </w:tc>
        <w:tc>
          <w:tcPr>
            <w:tcW w:w="6869" w:type="dxa"/>
            <w:gridSpan w:val="3"/>
            <w:tcBorders>
              <w:top w:val="single" w:sz="4" w:space="0" w:color="auto"/>
              <w:left w:val="single" w:sz="4" w:space="0" w:color="auto"/>
              <w:right w:val="single" w:sz="4" w:space="0" w:color="auto"/>
            </w:tcBorders>
            <w:shd w:val="clear" w:color="auto" w:fill="auto"/>
          </w:tcPr>
          <w:p w:rsidR="005A5DC2" w:rsidRPr="003017BE" w:rsidRDefault="000841E1" w:rsidP="00734703">
            <w:pPr>
              <w:pStyle w:val="afd"/>
              <w:jc w:val="center"/>
              <w:rPr>
                <w:color w:val="auto"/>
                <w:sz w:val="26"/>
                <w:szCs w:val="26"/>
              </w:rPr>
            </w:pPr>
            <w:r w:rsidRPr="003017BE">
              <w:rPr>
                <w:color w:val="auto"/>
                <w:sz w:val="26"/>
                <w:szCs w:val="26"/>
              </w:rPr>
              <w:t>Виконавчий комітет Баштечківської сільської ради</w:t>
            </w:r>
          </w:p>
        </w:tc>
      </w:tr>
      <w:tr w:rsidR="005A5DC2" w:rsidRPr="003017BE">
        <w:trPr>
          <w:trHeight w:hRule="exact" w:val="605"/>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3</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Співрозробники Програми</w:t>
            </w:r>
          </w:p>
        </w:tc>
        <w:tc>
          <w:tcPr>
            <w:tcW w:w="6869" w:type="dxa"/>
            <w:gridSpan w:val="3"/>
            <w:tcBorders>
              <w:top w:val="single" w:sz="4" w:space="0" w:color="auto"/>
              <w:left w:val="single" w:sz="4" w:space="0" w:color="auto"/>
              <w:right w:val="single" w:sz="4" w:space="0" w:color="auto"/>
            </w:tcBorders>
            <w:shd w:val="clear" w:color="auto" w:fill="auto"/>
          </w:tcPr>
          <w:p w:rsidR="005A5DC2" w:rsidRPr="003017BE" w:rsidRDefault="005A5DC2" w:rsidP="00734703">
            <w:pPr>
              <w:pStyle w:val="afd"/>
              <w:jc w:val="center"/>
              <w:rPr>
                <w:color w:val="auto"/>
                <w:sz w:val="26"/>
                <w:szCs w:val="26"/>
              </w:rPr>
            </w:pPr>
            <w:r w:rsidRPr="003017BE">
              <w:rPr>
                <w:color w:val="auto"/>
                <w:sz w:val="26"/>
                <w:szCs w:val="26"/>
              </w:rPr>
              <w:t xml:space="preserve">2-й відділ Уманського районного ТЦК та </w:t>
            </w:r>
            <w:r w:rsidRPr="003017BE">
              <w:rPr>
                <w:color w:val="auto"/>
                <w:sz w:val="26"/>
                <w:szCs w:val="26"/>
                <w:lang w:eastAsia="ru-RU" w:bidi="ru-RU"/>
              </w:rPr>
              <w:t>СП</w:t>
            </w:r>
            <w:r w:rsidRPr="003017BE">
              <w:rPr>
                <w:color w:val="auto"/>
                <w:sz w:val="26"/>
                <w:szCs w:val="26"/>
              </w:rPr>
              <w:t xml:space="preserve"> </w:t>
            </w:r>
          </w:p>
        </w:tc>
      </w:tr>
      <w:tr w:rsidR="005A5DC2" w:rsidRPr="003017BE">
        <w:trPr>
          <w:trHeight w:hRule="exact" w:val="1095"/>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4</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Відповідальний виконавець Програми</w:t>
            </w:r>
          </w:p>
        </w:tc>
        <w:tc>
          <w:tcPr>
            <w:tcW w:w="6869" w:type="dxa"/>
            <w:gridSpan w:val="3"/>
            <w:tcBorders>
              <w:top w:val="single" w:sz="4" w:space="0" w:color="auto"/>
              <w:left w:val="single" w:sz="4" w:space="0" w:color="auto"/>
              <w:right w:val="single" w:sz="4" w:space="0" w:color="auto"/>
            </w:tcBorders>
            <w:shd w:val="clear" w:color="auto" w:fill="auto"/>
          </w:tcPr>
          <w:p w:rsidR="005A5DC2" w:rsidRPr="003017BE" w:rsidRDefault="000841E1" w:rsidP="00734703">
            <w:pPr>
              <w:pStyle w:val="afd"/>
              <w:jc w:val="center"/>
              <w:rPr>
                <w:color w:val="auto"/>
                <w:sz w:val="26"/>
                <w:szCs w:val="26"/>
              </w:rPr>
            </w:pPr>
            <w:r w:rsidRPr="003017BE">
              <w:rPr>
                <w:color w:val="auto"/>
                <w:sz w:val="26"/>
                <w:szCs w:val="26"/>
              </w:rPr>
              <w:t>Виконавчий комітет Баштечківської сільської ради</w:t>
            </w:r>
          </w:p>
        </w:tc>
      </w:tr>
      <w:tr w:rsidR="005A5DC2" w:rsidRPr="003017BE">
        <w:trPr>
          <w:trHeight w:hRule="exact" w:val="610"/>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5</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Термін реалізації Програми</w:t>
            </w:r>
          </w:p>
        </w:tc>
        <w:tc>
          <w:tcPr>
            <w:tcW w:w="6869" w:type="dxa"/>
            <w:gridSpan w:val="3"/>
            <w:tcBorders>
              <w:top w:val="single" w:sz="4" w:space="0" w:color="auto"/>
              <w:left w:val="single" w:sz="4" w:space="0" w:color="auto"/>
              <w:right w:val="single" w:sz="4" w:space="0" w:color="auto"/>
            </w:tcBorders>
            <w:shd w:val="clear" w:color="auto" w:fill="auto"/>
          </w:tcPr>
          <w:p w:rsidR="005A5DC2" w:rsidRPr="003017BE" w:rsidRDefault="005A5DC2" w:rsidP="00734703">
            <w:pPr>
              <w:pStyle w:val="afd"/>
              <w:jc w:val="center"/>
              <w:rPr>
                <w:color w:val="auto"/>
                <w:sz w:val="26"/>
                <w:szCs w:val="26"/>
              </w:rPr>
            </w:pPr>
            <w:bookmarkStart w:id="0" w:name="_GoBack"/>
            <w:bookmarkEnd w:id="0"/>
            <w:r w:rsidRPr="003017BE">
              <w:rPr>
                <w:color w:val="auto"/>
                <w:sz w:val="26"/>
                <w:szCs w:val="26"/>
              </w:rPr>
              <w:t>2025-2027 роки</w:t>
            </w:r>
          </w:p>
        </w:tc>
      </w:tr>
      <w:tr w:rsidR="005A5DC2" w:rsidRPr="003017BE">
        <w:trPr>
          <w:trHeight w:hRule="exact" w:val="2133"/>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6</w:t>
            </w:r>
          </w:p>
        </w:tc>
        <w:tc>
          <w:tcPr>
            <w:tcW w:w="2837" w:type="dxa"/>
            <w:tcBorders>
              <w:top w:val="single" w:sz="4" w:space="0" w:color="auto"/>
              <w:left w:val="single" w:sz="4" w:space="0" w:color="auto"/>
            </w:tcBorders>
            <w:shd w:val="clear" w:color="auto" w:fill="auto"/>
          </w:tcPr>
          <w:p w:rsidR="005A5DC2" w:rsidRPr="003017BE" w:rsidRDefault="005A5DC2" w:rsidP="00734703">
            <w:pPr>
              <w:pStyle w:val="afd"/>
              <w:jc w:val="center"/>
              <w:rPr>
                <w:color w:val="auto"/>
                <w:sz w:val="26"/>
                <w:szCs w:val="26"/>
              </w:rPr>
            </w:pPr>
            <w:r w:rsidRPr="003017BE">
              <w:rPr>
                <w:color w:val="auto"/>
                <w:sz w:val="26"/>
                <w:szCs w:val="26"/>
              </w:rPr>
              <w:t>Мета Програми</w:t>
            </w:r>
          </w:p>
        </w:tc>
        <w:tc>
          <w:tcPr>
            <w:tcW w:w="6869" w:type="dxa"/>
            <w:gridSpan w:val="3"/>
            <w:tcBorders>
              <w:top w:val="single" w:sz="4" w:space="0" w:color="auto"/>
              <w:left w:val="single" w:sz="4" w:space="0" w:color="auto"/>
              <w:right w:val="single" w:sz="4" w:space="0" w:color="auto"/>
            </w:tcBorders>
            <w:shd w:val="clear" w:color="auto" w:fill="auto"/>
            <w:vAlign w:val="bottom"/>
          </w:tcPr>
          <w:p w:rsidR="005A5DC2" w:rsidRPr="003017BE" w:rsidRDefault="005A5DC2" w:rsidP="00734703">
            <w:pPr>
              <w:pStyle w:val="afd"/>
              <w:tabs>
                <w:tab w:val="left" w:pos="1891"/>
                <w:tab w:val="left" w:pos="3197"/>
                <w:tab w:val="left" w:pos="5256"/>
              </w:tabs>
              <w:jc w:val="both"/>
              <w:rPr>
                <w:color w:val="auto"/>
                <w:sz w:val="26"/>
                <w:szCs w:val="26"/>
              </w:rPr>
            </w:pPr>
            <w:r w:rsidRPr="003017BE">
              <w:rPr>
                <w:color w:val="auto"/>
                <w:sz w:val="26"/>
                <w:szCs w:val="26"/>
              </w:rPr>
              <w:t>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та прийняття на військову службу громадян, підвищення рівня проведення мобілізації, підняття престижу військової служби за участю органів місцевого самоврядування.</w:t>
            </w:r>
          </w:p>
        </w:tc>
      </w:tr>
      <w:tr w:rsidR="005A5DC2" w:rsidRPr="003017BE">
        <w:trPr>
          <w:trHeight w:hRule="exact" w:val="1507"/>
          <w:jc w:val="center"/>
        </w:trPr>
        <w:tc>
          <w:tcPr>
            <w:tcW w:w="538" w:type="dxa"/>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7</w:t>
            </w:r>
          </w:p>
        </w:tc>
        <w:tc>
          <w:tcPr>
            <w:tcW w:w="2837"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Загальний обсяг фінансових ресурсів, необхідних для реалізації Програми Всього:</w:t>
            </w:r>
          </w:p>
        </w:tc>
        <w:tc>
          <w:tcPr>
            <w:tcW w:w="6869" w:type="dxa"/>
            <w:gridSpan w:val="3"/>
            <w:tcBorders>
              <w:top w:val="single" w:sz="4" w:space="0" w:color="auto"/>
              <w:left w:val="single" w:sz="4" w:space="0" w:color="auto"/>
              <w:right w:val="single" w:sz="4" w:space="0" w:color="auto"/>
            </w:tcBorders>
            <w:shd w:val="clear" w:color="auto" w:fill="auto"/>
          </w:tcPr>
          <w:p w:rsidR="005A5DC2" w:rsidRPr="003017BE" w:rsidRDefault="00042AFD" w:rsidP="00734703">
            <w:pPr>
              <w:pStyle w:val="afd"/>
              <w:jc w:val="center"/>
              <w:rPr>
                <w:color w:val="auto"/>
                <w:sz w:val="26"/>
                <w:szCs w:val="26"/>
              </w:rPr>
            </w:pPr>
            <w:r w:rsidRPr="003017BE">
              <w:rPr>
                <w:color w:val="auto"/>
                <w:sz w:val="26"/>
                <w:szCs w:val="26"/>
              </w:rPr>
              <w:t>20</w:t>
            </w:r>
            <w:r w:rsidR="00131E14" w:rsidRPr="003017BE">
              <w:rPr>
                <w:color w:val="auto"/>
                <w:sz w:val="26"/>
                <w:szCs w:val="26"/>
              </w:rPr>
              <w:t>0,0</w:t>
            </w:r>
            <w:r w:rsidR="005A5DC2" w:rsidRPr="003017BE">
              <w:rPr>
                <w:color w:val="auto"/>
                <w:sz w:val="26"/>
                <w:szCs w:val="26"/>
              </w:rPr>
              <w:t xml:space="preserve"> тис.грн</w:t>
            </w:r>
          </w:p>
        </w:tc>
      </w:tr>
      <w:tr w:rsidR="005A5DC2" w:rsidRPr="003017BE">
        <w:trPr>
          <w:trHeight w:hRule="exact" w:val="307"/>
          <w:jc w:val="center"/>
        </w:trPr>
        <w:tc>
          <w:tcPr>
            <w:tcW w:w="538" w:type="dxa"/>
            <w:vMerge w:val="restart"/>
            <w:tcBorders>
              <w:top w:val="single" w:sz="4" w:space="0" w:color="auto"/>
              <w:left w:val="single" w:sz="4" w:space="0" w:color="auto"/>
            </w:tcBorders>
            <w:shd w:val="clear" w:color="auto" w:fill="auto"/>
          </w:tcPr>
          <w:p w:rsidR="005A5DC2" w:rsidRPr="003017BE" w:rsidRDefault="005A5DC2" w:rsidP="00734703">
            <w:pPr>
              <w:pStyle w:val="afd"/>
              <w:ind w:firstLine="200"/>
              <w:rPr>
                <w:color w:val="auto"/>
                <w:sz w:val="26"/>
                <w:szCs w:val="26"/>
              </w:rPr>
            </w:pPr>
            <w:r w:rsidRPr="003017BE">
              <w:rPr>
                <w:color w:val="auto"/>
                <w:sz w:val="26"/>
                <w:szCs w:val="26"/>
              </w:rPr>
              <w:t>8</w:t>
            </w:r>
          </w:p>
        </w:tc>
        <w:tc>
          <w:tcPr>
            <w:tcW w:w="2837" w:type="dxa"/>
            <w:vMerge w:val="restart"/>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В тому числі розподіл по роках</w:t>
            </w:r>
          </w:p>
        </w:tc>
        <w:tc>
          <w:tcPr>
            <w:tcW w:w="1416"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2025</w:t>
            </w:r>
          </w:p>
        </w:tc>
        <w:tc>
          <w:tcPr>
            <w:tcW w:w="2693" w:type="dxa"/>
            <w:tcBorders>
              <w:top w:val="single" w:sz="4" w:space="0" w:color="auto"/>
              <w:lef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2026</w:t>
            </w:r>
          </w:p>
        </w:tc>
        <w:tc>
          <w:tcPr>
            <w:tcW w:w="2760" w:type="dxa"/>
            <w:tcBorders>
              <w:top w:val="single" w:sz="4" w:space="0" w:color="auto"/>
              <w:left w:val="single" w:sz="4" w:space="0" w:color="auto"/>
              <w:right w:val="single" w:sz="4" w:space="0" w:color="auto"/>
            </w:tcBorders>
            <w:shd w:val="clear" w:color="auto" w:fill="auto"/>
            <w:vAlign w:val="bottom"/>
          </w:tcPr>
          <w:p w:rsidR="005A5DC2" w:rsidRPr="003017BE" w:rsidRDefault="005A5DC2" w:rsidP="00734703">
            <w:pPr>
              <w:pStyle w:val="afd"/>
              <w:jc w:val="center"/>
              <w:rPr>
                <w:color w:val="auto"/>
                <w:sz w:val="26"/>
                <w:szCs w:val="26"/>
              </w:rPr>
            </w:pPr>
            <w:r w:rsidRPr="003017BE">
              <w:rPr>
                <w:color w:val="auto"/>
                <w:sz w:val="26"/>
                <w:szCs w:val="26"/>
              </w:rPr>
              <w:t>2027</w:t>
            </w:r>
          </w:p>
        </w:tc>
      </w:tr>
      <w:tr w:rsidR="005A5DC2" w:rsidRPr="003017BE">
        <w:trPr>
          <w:trHeight w:hRule="exact" w:val="322"/>
          <w:jc w:val="center"/>
        </w:trPr>
        <w:tc>
          <w:tcPr>
            <w:tcW w:w="538" w:type="dxa"/>
            <w:vMerge/>
            <w:tcBorders>
              <w:left w:val="single" w:sz="4" w:space="0" w:color="auto"/>
              <w:bottom w:val="single" w:sz="4" w:space="0" w:color="auto"/>
            </w:tcBorders>
            <w:shd w:val="clear" w:color="auto" w:fill="auto"/>
          </w:tcPr>
          <w:p w:rsidR="005A5DC2" w:rsidRPr="003017BE" w:rsidRDefault="005A5DC2" w:rsidP="00734703"/>
        </w:tc>
        <w:tc>
          <w:tcPr>
            <w:tcW w:w="2837" w:type="dxa"/>
            <w:vMerge/>
            <w:tcBorders>
              <w:left w:val="single" w:sz="4" w:space="0" w:color="auto"/>
              <w:bottom w:val="single" w:sz="4" w:space="0" w:color="auto"/>
            </w:tcBorders>
            <w:shd w:val="clear" w:color="auto" w:fill="auto"/>
            <w:vAlign w:val="bottom"/>
          </w:tcPr>
          <w:p w:rsidR="005A5DC2" w:rsidRPr="003017BE" w:rsidRDefault="005A5DC2" w:rsidP="00734703"/>
        </w:tc>
        <w:tc>
          <w:tcPr>
            <w:tcW w:w="1416" w:type="dxa"/>
            <w:tcBorders>
              <w:top w:val="single" w:sz="4" w:space="0" w:color="auto"/>
              <w:left w:val="single" w:sz="4" w:space="0" w:color="auto"/>
              <w:bottom w:val="single" w:sz="4" w:space="0" w:color="auto"/>
            </w:tcBorders>
            <w:shd w:val="clear" w:color="auto" w:fill="auto"/>
            <w:vAlign w:val="bottom"/>
          </w:tcPr>
          <w:p w:rsidR="005A5DC2" w:rsidRPr="003017BE" w:rsidRDefault="00131E14" w:rsidP="00734703">
            <w:pPr>
              <w:pStyle w:val="afd"/>
              <w:jc w:val="center"/>
              <w:rPr>
                <w:color w:val="auto"/>
                <w:sz w:val="26"/>
                <w:szCs w:val="26"/>
              </w:rPr>
            </w:pPr>
            <w:r w:rsidRPr="003017BE">
              <w:rPr>
                <w:color w:val="auto"/>
                <w:sz w:val="26"/>
                <w:szCs w:val="26"/>
              </w:rPr>
              <w:t>60,0</w:t>
            </w:r>
          </w:p>
        </w:tc>
        <w:tc>
          <w:tcPr>
            <w:tcW w:w="2693" w:type="dxa"/>
            <w:tcBorders>
              <w:top w:val="single" w:sz="4" w:space="0" w:color="auto"/>
              <w:left w:val="single" w:sz="4" w:space="0" w:color="auto"/>
              <w:bottom w:val="single" w:sz="4" w:space="0" w:color="auto"/>
            </w:tcBorders>
            <w:shd w:val="clear" w:color="auto" w:fill="auto"/>
            <w:vAlign w:val="bottom"/>
          </w:tcPr>
          <w:p w:rsidR="005A5DC2" w:rsidRPr="003017BE" w:rsidRDefault="00042AFD" w:rsidP="00734703">
            <w:pPr>
              <w:pStyle w:val="afd"/>
              <w:jc w:val="center"/>
              <w:rPr>
                <w:color w:val="auto"/>
                <w:sz w:val="26"/>
                <w:szCs w:val="26"/>
              </w:rPr>
            </w:pPr>
            <w:r w:rsidRPr="003017BE">
              <w:rPr>
                <w:color w:val="auto"/>
                <w:sz w:val="26"/>
                <w:szCs w:val="26"/>
              </w:rPr>
              <w:t>7</w:t>
            </w:r>
            <w:r w:rsidR="00131E14" w:rsidRPr="003017BE">
              <w:rPr>
                <w:color w:val="auto"/>
                <w:sz w:val="26"/>
                <w:szCs w:val="26"/>
              </w:rPr>
              <w:t>0,0</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rsidR="005A5DC2" w:rsidRPr="003017BE" w:rsidRDefault="00042AFD" w:rsidP="00734703">
            <w:pPr>
              <w:pStyle w:val="afd"/>
              <w:jc w:val="center"/>
              <w:rPr>
                <w:color w:val="auto"/>
                <w:sz w:val="26"/>
                <w:szCs w:val="26"/>
              </w:rPr>
            </w:pPr>
            <w:r w:rsidRPr="003017BE">
              <w:rPr>
                <w:color w:val="auto"/>
                <w:sz w:val="26"/>
                <w:szCs w:val="26"/>
              </w:rPr>
              <w:t>8</w:t>
            </w:r>
            <w:r w:rsidR="00131E14" w:rsidRPr="003017BE">
              <w:rPr>
                <w:color w:val="auto"/>
                <w:sz w:val="26"/>
                <w:szCs w:val="26"/>
              </w:rPr>
              <w:t>0,0</w:t>
            </w:r>
          </w:p>
        </w:tc>
      </w:tr>
    </w:tbl>
    <w:p w:rsidR="005A5DC2" w:rsidRDefault="005A5DC2" w:rsidP="005A5DC2">
      <w:pPr>
        <w:sectPr w:rsidR="005A5DC2" w:rsidSect="00734703">
          <w:pgSz w:w="11900" w:h="16840"/>
          <w:pgMar w:top="709" w:right="567" w:bottom="425" w:left="1588" w:header="714" w:footer="6022" w:gutter="0"/>
          <w:pgNumType w:start="1"/>
          <w:cols w:space="720"/>
          <w:noEndnote/>
          <w:docGrid w:linePitch="360"/>
        </w:sectPr>
      </w:pPr>
    </w:p>
    <w:p w:rsidR="005A5DC2" w:rsidRPr="003017BE" w:rsidRDefault="005A5DC2" w:rsidP="005A5DC2">
      <w:pPr>
        <w:pStyle w:val="1c"/>
        <w:keepNext/>
        <w:keepLines/>
        <w:spacing w:after="320"/>
        <w:jc w:val="center"/>
        <w:rPr>
          <w:color w:val="auto"/>
        </w:rPr>
      </w:pPr>
      <w:bookmarkStart w:id="1" w:name="bookmark0"/>
      <w:r w:rsidRPr="003017BE">
        <w:rPr>
          <w:color w:val="auto"/>
        </w:rPr>
        <w:lastRenderedPageBreak/>
        <w:t xml:space="preserve">2.Визначення проблеми, </w:t>
      </w:r>
      <w:r w:rsidRPr="003017BE">
        <w:rPr>
          <w:color w:val="auto"/>
          <w:lang w:val="ru-RU" w:eastAsia="ru-RU" w:bidi="ru-RU"/>
        </w:rPr>
        <w:t xml:space="preserve">на </w:t>
      </w:r>
      <w:r w:rsidRPr="003017BE">
        <w:rPr>
          <w:color w:val="auto"/>
        </w:rPr>
        <w:t>розв’язання якої спрямована програма</w:t>
      </w:r>
      <w:bookmarkEnd w:id="1"/>
    </w:p>
    <w:p w:rsidR="005A5DC2" w:rsidRPr="003017BE" w:rsidRDefault="005A5DC2" w:rsidP="005A5DC2">
      <w:pPr>
        <w:pStyle w:val="1a"/>
        <w:ind w:firstLine="600"/>
        <w:jc w:val="both"/>
        <w:rPr>
          <w:color w:val="auto"/>
        </w:rPr>
      </w:pPr>
      <w:r w:rsidRPr="003017BE">
        <w:rPr>
          <w:color w:val="auto"/>
        </w:rPr>
        <w:t>Запобігання збройній агресії, зменшення збитків, непоправних втрат та ефективна ліквідація наслідків агресії, відповідно до вимог законів України «Про оборону України», «Про мобілізаційну підготовку та мобілізацію», «Про військовий обов’язок і військову службу», Указів Президента України, постанов Кабінету Міністрів України є одним з пріоритетів у діяльності органів місцевого самоврядування, органів військового управління. Своєчасне попередження, вжиття упереджувальних заходів з цих питань, здійснюється органами державного управління усіх ланок, підприємствами, установами, організаціями і громадянами.</w:t>
      </w:r>
    </w:p>
    <w:p w:rsidR="005A5DC2" w:rsidRPr="003017BE" w:rsidRDefault="005A5DC2" w:rsidP="005A5DC2">
      <w:pPr>
        <w:pStyle w:val="1a"/>
        <w:ind w:firstLine="600"/>
        <w:jc w:val="both"/>
        <w:rPr>
          <w:color w:val="auto"/>
        </w:rPr>
      </w:pPr>
      <w:r w:rsidRPr="003017BE">
        <w:rPr>
          <w:color w:val="auto"/>
        </w:rPr>
        <w:t>У відповідності до вимог ст. 15 Закону України «Про оборону України» виконавчі органи сільських, селищних, міських рад у галузі оборонної роботи забезпечують:</w:t>
      </w:r>
    </w:p>
    <w:p w:rsidR="005A5DC2" w:rsidRPr="003017BE" w:rsidRDefault="005A5DC2" w:rsidP="005A5DC2">
      <w:pPr>
        <w:pStyle w:val="1a"/>
        <w:numPr>
          <w:ilvl w:val="0"/>
          <w:numId w:val="8"/>
        </w:numPr>
        <w:tabs>
          <w:tab w:val="left" w:pos="229"/>
        </w:tabs>
        <w:jc w:val="both"/>
        <w:rPr>
          <w:color w:val="auto"/>
        </w:rPr>
      </w:pPr>
      <w:r w:rsidRPr="003017BE">
        <w:rPr>
          <w:color w:val="auto"/>
        </w:rPr>
        <w:t>підготовку громадян до військової служби, а також загальне військове навчання у воєнний час;</w:t>
      </w:r>
    </w:p>
    <w:p w:rsidR="005A5DC2" w:rsidRPr="003017BE" w:rsidRDefault="005A5DC2" w:rsidP="005A5DC2">
      <w:pPr>
        <w:pStyle w:val="1a"/>
        <w:numPr>
          <w:ilvl w:val="0"/>
          <w:numId w:val="8"/>
        </w:numPr>
        <w:tabs>
          <w:tab w:val="left" w:pos="229"/>
        </w:tabs>
        <w:jc w:val="both"/>
        <w:rPr>
          <w:color w:val="auto"/>
        </w:rPr>
      </w:pPr>
      <w:r w:rsidRPr="003017BE">
        <w:rPr>
          <w:color w:val="auto"/>
        </w:rPr>
        <w:t>приписку громадян до призовних дільниць, військовий облік військовозобов'язаних і призовників;</w:t>
      </w:r>
    </w:p>
    <w:p w:rsidR="005A5DC2" w:rsidRPr="003017BE" w:rsidRDefault="005A5DC2" w:rsidP="005A5DC2">
      <w:pPr>
        <w:pStyle w:val="1a"/>
        <w:numPr>
          <w:ilvl w:val="0"/>
          <w:numId w:val="8"/>
        </w:numPr>
        <w:tabs>
          <w:tab w:val="left" w:pos="224"/>
        </w:tabs>
        <w:jc w:val="both"/>
        <w:rPr>
          <w:color w:val="auto"/>
        </w:rPr>
      </w:pPr>
      <w:r w:rsidRPr="003017BE">
        <w:rPr>
          <w:color w:val="auto"/>
        </w:rPr>
        <w:t>призов громадян на строкову військову службу;</w:t>
      </w:r>
    </w:p>
    <w:p w:rsidR="005A5DC2" w:rsidRPr="003017BE" w:rsidRDefault="005A5DC2" w:rsidP="005A5DC2">
      <w:pPr>
        <w:pStyle w:val="1a"/>
        <w:numPr>
          <w:ilvl w:val="0"/>
          <w:numId w:val="8"/>
        </w:numPr>
        <w:tabs>
          <w:tab w:val="left" w:pos="224"/>
        </w:tabs>
        <w:jc w:val="both"/>
        <w:rPr>
          <w:color w:val="auto"/>
        </w:rPr>
      </w:pPr>
      <w:r w:rsidRPr="003017BE">
        <w:rPr>
          <w:color w:val="auto"/>
        </w:rPr>
        <w:t>направлення громадян на навчальні (або перевірочні) і спеціальні збори;</w:t>
      </w:r>
    </w:p>
    <w:p w:rsidR="005A5DC2" w:rsidRPr="003017BE" w:rsidRDefault="005A5DC2" w:rsidP="005A5DC2">
      <w:pPr>
        <w:pStyle w:val="1a"/>
        <w:numPr>
          <w:ilvl w:val="0"/>
          <w:numId w:val="8"/>
        </w:numPr>
        <w:tabs>
          <w:tab w:val="left" w:pos="229"/>
        </w:tabs>
        <w:jc w:val="both"/>
        <w:rPr>
          <w:color w:val="auto"/>
        </w:rPr>
      </w:pPr>
      <w:r w:rsidRPr="003017BE">
        <w:rPr>
          <w:color w:val="auto"/>
        </w:rPr>
        <w:t>організацію та участь у здійсненні на відповідній території заходів, пов'язаних з мобілізаційною підготовкою, територіальною обороною;</w:t>
      </w:r>
    </w:p>
    <w:p w:rsidR="005A5DC2" w:rsidRPr="003017BE" w:rsidRDefault="005A5DC2" w:rsidP="005A5DC2">
      <w:pPr>
        <w:pStyle w:val="1a"/>
        <w:numPr>
          <w:ilvl w:val="0"/>
          <w:numId w:val="8"/>
        </w:numPr>
        <w:tabs>
          <w:tab w:val="left" w:pos="224"/>
        </w:tabs>
        <w:jc w:val="both"/>
        <w:rPr>
          <w:color w:val="auto"/>
        </w:rPr>
      </w:pPr>
      <w:r w:rsidRPr="003017BE">
        <w:rPr>
          <w:color w:val="auto"/>
        </w:rPr>
        <w:t>бронювання військовозобов'язаних на період мобілізації та на воєнний час;</w:t>
      </w:r>
    </w:p>
    <w:p w:rsidR="005A5DC2" w:rsidRPr="003017BE" w:rsidRDefault="005A5DC2" w:rsidP="005A5DC2">
      <w:pPr>
        <w:pStyle w:val="1a"/>
        <w:numPr>
          <w:ilvl w:val="0"/>
          <w:numId w:val="8"/>
        </w:numPr>
        <w:tabs>
          <w:tab w:val="left" w:pos="229"/>
        </w:tabs>
        <w:jc w:val="both"/>
        <w:rPr>
          <w:color w:val="auto"/>
        </w:rPr>
      </w:pPr>
      <w:r w:rsidRPr="003017BE">
        <w:rPr>
          <w:color w:val="auto"/>
        </w:rPr>
        <w:t>проведення мобілізації людських, транспортних та інших ресурсів в особливий період;</w:t>
      </w:r>
    </w:p>
    <w:p w:rsidR="005A5DC2" w:rsidRPr="003017BE" w:rsidRDefault="005A5DC2" w:rsidP="005A5DC2">
      <w:pPr>
        <w:pStyle w:val="1a"/>
        <w:numPr>
          <w:ilvl w:val="0"/>
          <w:numId w:val="8"/>
        </w:numPr>
        <w:tabs>
          <w:tab w:val="left" w:pos="234"/>
        </w:tabs>
        <w:jc w:val="both"/>
        <w:rPr>
          <w:color w:val="auto"/>
        </w:rPr>
      </w:pPr>
      <w:r w:rsidRPr="003017BE">
        <w:rPr>
          <w:color w:val="auto"/>
        </w:rPr>
        <w:t>здійснення контролю за використанням і охороною наданих у встановленому порядку для потреб оборони земельних, водних та інших природних ресурсів згідно із законодавством;</w:t>
      </w:r>
    </w:p>
    <w:p w:rsidR="005A5DC2" w:rsidRPr="003017BE" w:rsidRDefault="005A5DC2" w:rsidP="005A5DC2">
      <w:pPr>
        <w:pStyle w:val="1a"/>
        <w:numPr>
          <w:ilvl w:val="0"/>
          <w:numId w:val="8"/>
        </w:numPr>
        <w:tabs>
          <w:tab w:val="left" w:pos="234"/>
        </w:tabs>
        <w:jc w:val="both"/>
        <w:rPr>
          <w:color w:val="auto"/>
        </w:rPr>
      </w:pPr>
      <w:r w:rsidRPr="003017BE">
        <w:rPr>
          <w:color w:val="auto"/>
        </w:rPr>
        <w:t>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w:t>
      </w:r>
    </w:p>
    <w:p w:rsidR="005A5DC2" w:rsidRPr="003017BE" w:rsidRDefault="005A5DC2" w:rsidP="005A5DC2">
      <w:pPr>
        <w:pStyle w:val="1a"/>
        <w:numPr>
          <w:ilvl w:val="0"/>
          <w:numId w:val="8"/>
        </w:numPr>
        <w:tabs>
          <w:tab w:val="left" w:pos="229"/>
        </w:tabs>
        <w:jc w:val="both"/>
        <w:rPr>
          <w:color w:val="auto"/>
        </w:rPr>
      </w:pPr>
      <w:r w:rsidRPr="003017BE">
        <w:rPr>
          <w:color w:val="auto"/>
        </w:rPr>
        <w:t>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5A5DC2" w:rsidRPr="003017BE" w:rsidRDefault="005A5DC2" w:rsidP="005A5DC2">
      <w:pPr>
        <w:pStyle w:val="1a"/>
        <w:numPr>
          <w:ilvl w:val="0"/>
          <w:numId w:val="8"/>
        </w:numPr>
        <w:tabs>
          <w:tab w:val="left" w:pos="224"/>
        </w:tabs>
        <w:jc w:val="both"/>
        <w:rPr>
          <w:color w:val="auto"/>
        </w:rPr>
      </w:pPr>
      <w:r w:rsidRPr="003017BE">
        <w:rPr>
          <w:color w:val="auto"/>
        </w:rPr>
        <w:t>проведення заходів щодо військово-патріотичного виховання громадян України;</w:t>
      </w:r>
    </w:p>
    <w:p w:rsidR="005A5DC2" w:rsidRPr="003017BE" w:rsidRDefault="005A5DC2" w:rsidP="005A5DC2">
      <w:pPr>
        <w:pStyle w:val="1a"/>
        <w:numPr>
          <w:ilvl w:val="0"/>
          <w:numId w:val="8"/>
        </w:numPr>
        <w:tabs>
          <w:tab w:val="left" w:pos="234"/>
        </w:tabs>
        <w:jc w:val="both"/>
        <w:rPr>
          <w:color w:val="auto"/>
        </w:rPr>
      </w:pPr>
      <w:r w:rsidRPr="003017BE">
        <w:rPr>
          <w:color w:val="auto"/>
        </w:rPr>
        <w:t>здійснення інших повноважень у галузі оборонної роботи, передбачених законами.</w:t>
      </w:r>
    </w:p>
    <w:p w:rsidR="005A5DC2" w:rsidRPr="003017BE" w:rsidRDefault="005A5DC2" w:rsidP="005A5DC2">
      <w:pPr>
        <w:pStyle w:val="1a"/>
        <w:ind w:firstLine="600"/>
        <w:jc w:val="both"/>
        <w:rPr>
          <w:color w:val="auto"/>
        </w:rPr>
      </w:pPr>
      <w:r w:rsidRPr="003017BE">
        <w:rPr>
          <w:color w:val="auto"/>
        </w:rPr>
        <w:t>Статтею 7 Закону України «Про мобілізаційну підготовку та мобілізацію», зокрема, встановлено, що з місцевих бюджетів фінансуються заходи та роботи з мобілізаційної підготовки місцевого значення.</w:t>
      </w:r>
    </w:p>
    <w:p w:rsidR="005A5DC2" w:rsidRPr="003017BE" w:rsidRDefault="005A5DC2" w:rsidP="005A5DC2">
      <w:pPr>
        <w:pStyle w:val="1a"/>
        <w:ind w:firstLine="600"/>
        <w:jc w:val="both"/>
        <w:rPr>
          <w:color w:val="auto"/>
        </w:rPr>
      </w:pPr>
      <w:r w:rsidRPr="003017BE">
        <w:rPr>
          <w:color w:val="auto"/>
        </w:rPr>
        <w:t xml:space="preserve">За рахунок коштів підприємств, установ і організацій фінансуються заходи та роботи з мобілізаційної підготовки, що здійснюються за ініціативою самих підприємств, установ і організацій згідно з мобілізаційними планами. Фінансування мобілізаційної підготовки та/або заходів з мобілізації може </w:t>
      </w:r>
      <w:r w:rsidRPr="003017BE">
        <w:rPr>
          <w:color w:val="auto"/>
        </w:rPr>
        <w:lastRenderedPageBreak/>
        <w:t>здійснюватися додатково за рахунок благодійних пожертв фізичних та юридичних осіб у порядку, визначеному Кабінетом Міністрів України.</w:t>
      </w:r>
    </w:p>
    <w:p w:rsidR="005A5DC2" w:rsidRPr="003017BE" w:rsidRDefault="005A5DC2" w:rsidP="005A5DC2">
      <w:pPr>
        <w:pStyle w:val="1a"/>
        <w:ind w:firstLine="600"/>
        <w:jc w:val="both"/>
        <w:rPr>
          <w:color w:val="auto"/>
        </w:rPr>
      </w:pPr>
      <w:r w:rsidRPr="003017BE">
        <w:rPr>
          <w:color w:val="auto"/>
        </w:rPr>
        <w:t>Виконання військового обов'язку громадянами України у відповідності до ч. 7 ст. 1 Закону України «Про військовий обов’язок і військову службу»,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w:t>
      </w:r>
    </w:p>
    <w:p w:rsidR="005A5DC2" w:rsidRPr="003017BE" w:rsidRDefault="005A5DC2" w:rsidP="005A5DC2">
      <w:pPr>
        <w:pStyle w:val="1a"/>
        <w:ind w:firstLine="600"/>
        <w:jc w:val="both"/>
        <w:rPr>
          <w:color w:val="auto"/>
        </w:rPr>
      </w:pPr>
      <w:r w:rsidRPr="003017BE">
        <w:rPr>
          <w:color w:val="auto"/>
        </w:rPr>
        <w:t>Події, що відбулися та відбуваються в державі протягом останніх років, засвідчують про те, що заходи, які вживалися органами державної влади, органами місцевого самоврядування спільно із органами військового управління, виявилися недостатніми для забезпечення її надійної обороноздатності, потребують суттєвого покращення, а також додаткового залучення коштів із бюджетів усіх рівнів та позабюджетного фінансування.</w:t>
      </w:r>
    </w:p>
    <w:p w:rsidR="005A5DC2" w:rsidRPr="003017BE" w:rsidRDefault="005A5DC2" w:rsidP="005A5DC2">
      <w:pPr>
        <w:pStyle w:val="1a"/>
        <w:ind w:firstLine="600"/>
        <w:jc w:val="both"/>
        <w:rPr>
          <w:color w:val="auto"/>
        </w:rPr>
      </w:pPr>
      <w:r w:rsidRPr="003017BE">
        <w:rPr>
          <w:color w:val="auto"/>
        </w:rPr>
        <w:t>Програма спрямована на вдосконалення організації проведення приписки громадян, які проживають на території громади до призовної дільниці, ведення військово-облікової роботи, призову та прийняття громадян України на військову службу до лав Збройних Сил України, проведення мобілізації людських, транспортних та інших ресурсів на території громади.</w:t>
      </w:r>
    </w:p>
    <w:p w:rsidR="005A5DC2" w:rsidRPr="003017BE" w:rsidRDefault="005A5DC2" w:rsidP="005A5DC2">
      <w:pPr>
        <w:pStyle w:val="1a"/>
        <w:ind w:firstLine="600"/>
        <w:jc w:val="both"/>
        <w:rPr>
          <w:color w:val="auto"/>
        </w:rPr>
      </w:pPr>
      <w:r w:rsidRPr="003017BE">
        <w:rPr>
          <w:color w:val="auto"/>
        </w:rPr>
        <w:t>Існує потреба в додатковому фінансуванні видатків на підготовку громадян, які проживають на території громади до служби в Збройних Силах України, забезпечення якісним особовим складом Збройні Сили України та інші військові формування, на доставку призовників, кандидатів на проходження військової служби за контрактом та мобілізованих громадян до збірних пунктів та військових частин, підтримання в належному боєготовному стані об’єктів мобілізаційного розгортання.</w:t>
      </w:r>
    </w:p>
    <w:p w:rsidR="005A5DC2" w:rsidRPr="003017BE" w:rsidRDefault="005A5DC2" w:rsidP="005A5DC2">
      <w:pPr>
        <w:pStyle w:val="1a"/>
        <w:tabs>
          <w:tab w:val="left" w:pos="3173"/>
          <w:tab w:val="left" w:pos="5688"/>
          <w:tab w:val="left" w:pos="9130"/>
        </w:tabs>
        <w:ind w:firstLine="600"/>
        <w:jc w:val="both"/>
        <w:rPr>
          <w:color w:val="auto"/>
        </w:rPr>
      </w:pPr>
      <w:r w:rsidRPr="003017BE">
        <w:rPr>
          <w:color w:val="auto"/>
        </w:rPr>
        <w:t>Забезпечення накопичення військово-навченого резерву військовозобов’язаних, для якісного комплектування військових частин Збройних Сил України в особливий період.</w:t>
      </w:r>
    </w:p>
    <w:p w:rsidR="00EB3FDF" w:rsidRPr="003017BE" w:rsidRDefault="00EB3FDF" w:rsidP="005A5DC2">
      <w:pPr>
        <w:pStyle w:val="1a"/>
        <w:tabs>
          <w:tab w:val="left" w:pos="3173"/>
          <w:tab w:val="left" w:pos="5688"/>
          <w:tab w:val="left" w:pos="9130"/>
        </w:tabs>
        <w:ind w:firstLine="600"/>
        <w:jc w:val="both"/>
        <w:rPr>
          <w:color w:val="auto"/>
        </w:rPr>
      </w:pPr>
    </w:p>
    <w:p w:rsidR="005A5DC2" w:rsidRDefault="005A5DC2" w:rsidP="003017BE">
      <w:pPr>
        <w:pStyle w:val="1c"/>
        <w:keepNext/>
        <w:keepLines/>
        <w:numPr>
          <w:ilvl w:val="0"/>
          <w:numId w:val="9"/>
        </w:numPr>
        <w:tabs>
          <w:tab w:val="left" w:pos="327"/>
        </w:tabs>
        <w:spacing w:after="0"/>
        <w:jc w:val="center"/>
        <w:rPr>
          <w:color w:val="auto"/>
        </w:rPr>
      </w:pPr>
      <w:bookmarkStart w:id="2" w:name="bookmark2"/>
      <w:r w:rsidRPr="003017BE">
        <w:rPr>
          <w:color w:val="auto"/>
        </w:rPr>
        <w:t>Мета Програми</w:t>
      </w:r>
      <w:bookmarkEnd w:id="2"/>
    </w:p>
    <w:p w:rsidR="005A5DC2" w:rsidRDefault="005A5DC2" w:rsidP="003017BE">
      <w:pPr>
        <w:pStyle w:val="1a"/>
        <w:spacing w:before="240"/>
        <w:ind w:firstLine="600"/>
        <w:jc w:val="both"/>
        <w:rPr>
          <w:color w:val="auto"/>
        </w:rPr>
      </w:pPr>
      <w:r w:rsidRPr="003017BE">
        <w:rPr>
          <w:color w:val="auto"/>
        </w:rPr>
        <w:t>Метою Програми є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та прийняття на військову службу громадян, підвищення рівня проведення мобілізації, підняття престижу військової служби за участю органів місцевого самоврядування.</w:t>
      </w:r>
    </w:p>
    <w:p w:rsidR="003017BE" w:rsidRPr="003017BE" w:rsidRDefault="003017BE" w:rsidP="005A5DC2">
      <w:pPr>
        <w:pStyle w:val="1a"/>
        <w:ind w:firstLine="600"/>
        <w:jc w:val="both"/>
        <w:rPr>
          <w:color w:val="auto"/>
        </w:rPr>
      </w:pPr>
    </w:p>
    <w:p w:rsidR="005A5DC2" w:rsidRDefault="005A5DC2" w:rsidP="003017BE">
      <w:pPr>
        <w:pStyle w:val="1c"/>
        <w:keepNext/>
        <w:keepLines/>
        <w:numPr>
          <w:ilvl w:val="0"/>
          <w:numId w:val="9"/>
        </w:numPr>
        <w:tabs>
          <w:tab w:val="left" w:pos="322"/>
        </w:tabs>
        <w:spacing w:after="0"/>
        <w:jc w:val="center"/>
        <w:rPr>
          <w:color w:val="auto"/>
        </w:rPr>
      </w:pPr>
      <w:bookmarkStart w:id="3" w:name="bookmark4"/>
      <w:r w:rsidRPr="003017BE">
        <w:rPr>
          <w:color w:val="auto"/>
        </w:rPr>
        <w:t>Обґрунтування шляхів і засобів розв’язання проблеми, обсягів та джерел</w:t>
      </w:r>
      <w:r w:rsidRPr="003017BE">
        <w:rPr>
          <w:color w:val="auto"/>
        </w:rPr>
        <w:br/>
        <w:t>фінансування</w:t>
      </w:r>
      <w:bookmarkEnd w:id="3"/>
    </w:p>
    <w:p w:rsidR="005A5DC2" w:rsidRPr="003017BE" w:rsidRDefault="005A5DC2" w:rsidP="005A5DC2">
      <w:pPr>
        <w:pStyle w:val="1a"/>
        <w:tabs>
          <w:tab w:val="left" w:pos="8664"/>
        </w:tabs>
        <w:ind w:firstLine="600"/>
        <w:jc w:val="both"/>
        <w:rPr>
          <w:color w:val="auto"/>
        </w:rPr>
      </w:pPr>
      <w:r w:rsidRPr="003017BE">
        <w:rPr>
          <w:color w:val="auto"/>
        </w:rPr>
        <w:t>Виконання Програми здійснюватиметься шляхом проведення приписки, призову та прийняття громадян на військову службу до лав Збройних Сил України, заходів щодо мобілізації, в т.ч. забезпечення доставки призовників, військовозобов’язаних, кандидатів на проходження військової служби за контрактом та техніки до збірних пунктів, місць дислокації військових частин, покращення умов проведення цих заходів шляхом фінансування з місцевого бюджету і забезпечення, в результаті цього, належної роботоздатності  призовної дільниці.</w:t>
      </w:r>
    </w:p>
    <w:p w:rsidR="005A5DC2" w:rsidRPr="003017BE" w:rsidRDefault="005A5DC2" w:rsidP="005A5DC2">
      <w:pPr>
        <w:pStyle w:val="1a"/>
        <w:ind w:firstLine="600"/>
        <w:jc w:val="both"/>
        <w:rPr>
          <w:color w:val="auto"/>
        </w:rPr>
      </w:pPr>
      <w:r w:rsidRPr="003017BE">
        <w:rPr>
          <w:color w:val="auto"/>
        </w:rPr>
        <w:lastRenderedPageBreak/>
        <w:t>Фінансування Програми здійснюватиметься за рахунок коштів місцевого бюджету, передбачених на відповідний рік, зокрема для:</w:t>
      </w:r>
    </w:p>
    <w:p w:rsidR="005A5DC2" w:rsidRPr="003017BE" w:rsidRDefault="005A5DC2" w:rsidP="005A5DC2">
      <w:pPr>
        <w:pStyle w:val="1a"/>
        <w:numPr>
          <w:ilvl w:val="0"/>
          <w:numId w:val="10"/>
        </w:numPr>
        <w:tabs>
          <w:tab w:val="left" w:pos="297"/>
        </w:tabs>
        <w:jc w:val="both"/>
        <w:rPr>
          <w:color w:val="auto"/>
        </w:rPr>
      </w:pPr>
      <w:r w:rsidRPr="003017BE">
        <w:rPr>
          <w:color w:val="auto"/>
        </w:rPr>
        <w:t>підготовки до служби в Збройних Силах України, військово-патріотичного виховання, проведення приписки до призовної дільниці, призову на строкову військову службу, військову службу за контрактом;</w:t>
      </w:r>
    </w:p>
    <w:p w:rsidR="005A5DC2" w:rsidRPr="003017BE" w:rsidRDefault="005A5DC2" w:rsidP="005A5DC2">
      <w:pPr>
        <w:pStyle w:val="1a"/>
        <w:numPr>
          <w:ilvl w:val="0"/>
          <w:numId w:val="10"/>
        </w:numPr>
        <w:tabs>
          <w:tab w:val="left" w:pos="297"/>
        </w:tabs>
        <w:jc w:val="both"/>
        <w:rPr>
          <w:color w:val="auto"/>
        </w:rPr>
      </w:pPr>
      <w:r w:rsidRPr="003017BE">
        <w:rPr>
          <w:color w:val="auto"/>
        </w:rPr>
        <w:t>налагодження координації та забезпечення взаємодії громади, підприємств, установ та організацій, які знаходяться на території громади, з метою проведення мобілізації;</w:t>
      </w:r>
    </w:p>
    <w:p w:rsidR="005A5DC2" w:rsidRDefault="005A5DC2" w:rsidP="005A5DC2">
      <w:pPr>
        <w:pStyle w:val="1a"/>
        <w:numPr>
          <w:ilvl w:val="0"/>
          <w:numId w:val="10"/>
        </w:numPr>
        <w:tabs>
          <w:tab w:val="left" w:pos="297"/>
        </w:tabs>
        <w:jc w:val="both"/>
        <w:rPr>
          <w:color w:val="auto"/>
        </w:rPr>
      </w:pPr>
      <w:r w:rsidRPr="003017BE">
        <w:rPr>
          <w:color w:val="auto"/>
        </w:rPr>
        <w:t>перевезення та доставка призовників, кандидатів для проходження військової служби за контрактом і мобілізованих людських, транспортних та інших ресурсів відповідно від призовної дільниці до обласного збірного пункту, обласної медичної комісії та місць дислокації військових частин Збройних Сил України.</w:t>
      </w:r>
    </w:p>
    <w:p w:rsidR="003017BE" w:rsidRPr="003017BE" w:rsidRDefault="003017BE" w:rsidP="003017BE">
      <w:pPr>
        <w:pStyle w:val="1a"/>
        <w:tabs>
          <w:tab w:val="left" w:pos="297"/>
        </w:tabs>
        <w:jc w:val="both"/>
        <w:rPr>
          <w:color w:val="auto"/>
        </w:rPr>
      </w:pPr>
    </w:p>
    <w:p w:rsidR="005A5DC2" w:rsidRPr="003017BE" w:rsidRDefault="005A5DC2" w:rsidP="005A5DC2">
      <w:pPr>
        <w:pStyle w:val="1c"/>
        <w:keepNext/>
        <w:keepLines/>
        <w:jc w:val="center"/>
        <w:rPr>
          <w:color w:val="auto"/>
        </w:rPr>
      </w:pPr>
      <w:bookmarkStart w:id="4" w:name="bookmark6"/>
      <w:r w:rsidRPr="003017BE">
        <w:rPr>
          <w:color w:val="auto"/>
        </w:rPr>
        <w:t>5. Перелік завдань і заходів Програми та результативні показники.</w:t>
      </w:r>
      <w:bookmarkEnd w:id="4"/>
    </w:p>
    <w:p w:rsidR="005A5DC2" w:rsidRPr="003017BE" w:rsidRDefault="005A5DC2" w:rsidP="005A5DC2">
      <w:pPr>
        <w:pStyle w:val="1c"/>
        <w:keepNext/>
        <w:keepLines/>
        <w:spacing w:after="0"/>
        <w:jc w:val="both"/>
        <w:rPr>
          <w:color w:val="auto"/>
        </w:rPr>
      </w:pPr>
      <w:r w:rsidRPr="003017BE">
        <w:rPr>
          <w:color w:val="auto"/>
        </w:rPr>
        <w:t>5.1.Основними завданнями Програми є:</w:t>
      </w:r>
    </w:p>
    <w:p w:rsidR="005A5DC2" w:rsidRPr="003017BE" w:rsidRDefault="005A5DC2" w:rsidP="005A5DC2">
      <w:pPr>
        <w:pStyle w:val="1a"/>
        <w:numPr>
          <w:ilvl w:val="0"/>
          <w:numId w:val="11"/>
        </w:numPr>
        <w:tabs>
          <w:tab w:val="left" w:pos="370"/>
        </w:tabs>
        <w:jc w:val="both"/>
        <w:rPr>
          <w:color w:val="auto"/>
        </w:rPr>
      </w:pPr>
      <w:r w:rsidRPr="003017BE">
        <w:rPr>
          <w:color w:val="auto"/>
        </w:rPr>
        <w:t>підвищення якості мобілізаційної підготовки та рівня мобілізаційної готовності територіальної громади, підприємств, установ і організацій - виконавців мобілізаційних завдань;</w:t>
      </w:r>
    </w:p>
    <w:p w:rsidR="005A5DC2" w:rsidRPr="003017BE" w:rsidRDefault="005A5DC2" w:rsidP="005A5DC2">
      <w:pPr>
        <w:pStyle w:val="1a"/>
        <w:numPr>
          <w:ilvl w:val="0"/>
          <w:numId w:val="11"/>
        </w:numPr>
        <w:tabs>
          <w:tab w:val="left" w:pos="370"/>
        </w:tabs>
        <w:jc w:val="both"/>
        <w:rPr>
          <w:color w:val="auto"/>
        </w:rPr>
      </w:pPr>
      <w:r w:rsidRPr="003017BE">
        <w:rPr>
          <w:color w:val="auto"/>
        </w:rPr>
        <w:t>забезпечення захисту стратегічних об'єктів та жителів громади від терористичних загроз;</w:t>
      </w:r>
    </w:p>
    <w:p w:rsidR="005A5DC2" w:rsidRPr="003017BE" w:rsidRDefault="005A5DC2" w:rsidP="005A5DC2">
      <w:pPr>
        <w:pStyle w:val="1a"/>
        <w:numPr>
          <w:ilvl w:val="0"/>
          <w:numId w:val="11"/>
        </w:numPr>
        <w:tabs>
          <w:tab w:val="left" w:pos="366"/>
        </w:tabs>
        <w:spacing w:after="240"/>
        <w:jc w:val="both"/>
        <w:rPr>
          <w:color w:val="auto"/>
        </w:rPr>
      </w:pPr>
      <w:r w:rsidRPr="003017BE">
        <w:rPr>
          <w:color w:val="auto"/>
        </w:rPr>
        <w:t>якісна підготовка громадян до військової служби, своєчасне проведення приписки, призову та прийняття громадян на військову службу, забезпечення ведення військового обліку відповідно до законодавства України.</w:t>
      </w:r>
    </w:p>
    <w:p w:rsidR="005A5DC2" w:rsidRPr="003017BE" w:rsidRDefault="005A5DC2" w:rsidP="005A5DC2">
      <w:pPr>
        <w:pStyle w:val="1c"/>
        <w:keepNext/>
        <w:keepLines/>
        <w:numPr>
          <w:ilvl w:val="1"/>
          <w:numId w:val="12"/>
        </w:numPr>
        <w:tabs>
          <w:tab w:val="left" w:pos="538"/>
        </w:tabs>
        <w:spacing w:after="0"/>
        <w:jc w:val="both"/>
        <w:rPr>
          <w:color w:val="auto"/>
        </w:rPr>
      </w:pPr>
      <w:bookmarkStart w:id="5" w:name="bookmark9"/>
      <w:r w:rsidRPr="003017BE">
        <w:rPr>
          <w:color w:val="auto"/>
        </w:rPr>
        <w:t>Програма передбачає виконання наступних основних заходів:</w:t>
      </w:r>
      <w:bookmarkEnd w:id="5"/>
    </w:p>
    <w:p w:rsidR="005A5DC2" w:rsidRPr="003017BE" w:rsidRDefault="005A5DC2" w:rsidP="005A5DC2">
      <w:pPr>
        <w:pStyle w:val="1a"/>
        <w:numPr>
          <w:ilvl w:val="0"/>
          <w:numId w:val="13"/>
        </w:numPr>
        <w:tabs>
          <w:tab w:val="left" w:pos="297"/>
        </w:tabs>
        <w:jc w:val="both"/>
        <w:rPr>
          <w:color w:val="auto"/>
        </w:rPr>
      </w:pPr>
      <w:r w:rsidRPr="003017BE">
        <w:rPr>
          <w:color w:val="auto"/>
        </w:rPr>
        <w:t xml:space="preserve">фінансове забезпечення виконання передбачених законодавством заходів щодо проведення мобілізації людських і транспортних ресурсів на території </w:t>
      </w:r>
      <w:r w:rsidR="00131E14" w:rsidRPr="003017BE">
        <w:rPr>
          <w:color w:val="auto"/>
        </w:rPr>
        <w:t>сільської</w:t>
      </w:r>
      <w:r w:rsidRPr="003017BE">
        <w:rPr>
          <w:color w:val="auto"/>
        </w:rPr>
        <w:t xml:space="preserve"> територіальної громади, у тому числі здійснення контролю за станом мобілізаційної готовності підприємств, установ та організацій, що є об’єктами спільної власності територіальної громади і перебувають в управлінні місцевої ради, а також доставка призовників та військовозобов'язаних на збірні пункти та до місць дислокації військових частин;</w:t>
      </w:r>
    </w:p>
    <w:p w:rsidR="005A5DC2" w:rsidRPr="003017BE" w:rsidRDefault="005A5DC2" w:rsidP="005A5DC2">
      <w:pPr>
        <w:pStyle w:val="1a"/>
        <w:numPr>
          <w:ilvl w:val="0"/>
          <w:numId w:val="13"/>
        </w:numPr>
        <w:tabs>
          <w:tab w:val="left" w:pos="297"/>
        </w:tabs>
        <w:jc w:val="both"/>
        <w:rPr>
          <w:color w:val="auto"/>
        </w:rPr>
      </w:pPr>
      <w:r w:rsidRPr="003017BE">
        <w:rPr>
          <w:color w:val="auto"/>
        </w:rPr>
        <w:t>організація та забезпечення на території територіальної громади військового обліку і підготовки громадян до військової служби, в тому числі допризовну підготовку молоді, підготовку призовників з військово-технічних спеціальностей та військово-патріотичного виховання, забезпечення проведення призову на строкову військову службу, навчальні (або перевірочні) та спеціальні збори, військову службу за контрактом і під час мобілізації, виконання військово- транспортного обов’язку;</w:t>
      </w:r>
    </w:p>
    <w:p w:rsidR="005A5DC2" w:rsidRPr="003017BE" w:rsidRDefault="005A5DC2" w:rsidP="005A5DC2">
      <w:pPr>
        <w:pStyle w:val="1a"/>
        <w:numPr>
          <w:ilvl w:val="0"/>
          <w:numId w:val="13"/>
        </w:numPr>
        <w:tabs>
          <w:tab w:val="left" w:pos="231"/>
        </w:tabs>
        <w:jc w:val="both"/>
        <w:rPr>
          <w:color w:val="auto"/>
        </w:rPr>
      </w:pPr>
      <w:r w:rsidRPr="003017BE">
        <w:rPr>
          <w:color w:val="auto"/>
        </w:rPr>
        <w:t>проведення заходів щодо оповіщення, розшуку призовників та військовозобов'язаних, перевірки правильності ведення військов</w:t>
      </w:r>
      <w:r w:rsidR="0044456C" w:rsidRPr="003017BE">
        <w:rPr>
          <w:color w:val="auto"/>
        </w:rPr>
        <w:t>ого обліку на території громади</w:t>
      </w:r>
      <w:r w:rsidRPr="003017BE">
        <w:rPr>
          <w:color w:val="auto"/>
        </w:rPr>
        <w:t>;</w:t>
      </w:r>
    </w:p>
    <w:p w:rsidR="005A5DC2" w:rsidRPr="003017BE" w:rsidRDefault="005A5DC2" w:rsidP="005A5DC2">
      <w:pPr>
        <w:pStyle w:val="1a"/>
        <w:numPr>
          <w:ilvl w:val="0"/>
          <w:numId w:val="13"/>
        </w:numPr>
        <w:tabs>
          <w:tab w:val="left" w:pos="231"/>
        </w:tabs>
        <w:jc w:val="both"/>
        <w:rPr>
          <w:color w:val="auto"/>
        </w:rPr>
      </w:pPr>
      <w:r w:rsidRPr="003017BE">
        <w:rPr>
          <w:color w:val="auto"/>
        </w:rPr>
        <w:t>забезпечення на території територіальної громади галузей національної економіки, діяльності органів місцевого самоврядування, підприємств, установ, організацій та підрозділів Збройних Сил України, інших військових формувань в умовах воєнного часу;</w:t>
      </w:r>
    </w:p>
    <w:p w:rsidR="005A5DC2" w:rsidRPr="003017BE" w:rsidRDefault="005A5DC2" w:rsidP="005A5DC2">
      <w:pPr>
        <w:pStyle w:val="1a"/>
        <w:numPr>
          <w:ilvl w:val="0"/>
          <w:numId w:val="13"/>
        </w:numPr>
        <w:tabs>
          <w:tab w:val="left" w:pos="226"/>
        </w:tabs>
        <w:jc w:val="both"/>
        <w:rPr>
          <w:color w:val="auto"/>
        </w:rPr>
      </w:pPr>
      <w:r w:rsidRPr="003017BE">
        <w:rPr>
          <w:color w:val="auto"/>
        </w:rPr>
        <w:t>здійснення заходів з охорони особливо-важливих об'єктів;</w:t>
      </w:r>
    </w:p>
    <w:p w:rsidR="005A5DC2" w:rsidRPr="003017BE" w:rsidRDefault="005A5DC2" w:rsidP="005A5DC2">
      <w:pPr>
        <w:pStyle w:val="1a"/>
        <w:numPr>
          <w:ilvl w:val="0"/>
          <w:numId w:val="13"/>
        </w:numPr>
        <w:tabs>
          <w:tab w:val="left" w:pos="226"/>
        </w:tabs>
        <w:jc w:val="both"/>
        <w:rPr>
          <w:color w:val="auto"/>
        </w:rPr>
      </w:pPr>
      <w:r w:rsidRPr="003017BE">
        <w:rPr>
          <w:color w:val="auto"/>
        </w:rPr>
        <w:lastRenderedPageBreak/>
        <w:t>забезпечення реалізації права громадян на соціально - економічний та соціально - правовий захист військовослужбовців та осіб, звільнених у запас або у відставку, членів їх сімей, а також членів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w:t>
      </w:r>
    </w:p>
    <w:p w:rsidR="005A5DC2" w:rsidRPr="003017BE" w:rsidRDefault="005A5DC2" w:rsidP="005A5DC2">
      <w:pPr>
        <w:pStyle w:val="1a"/>
        <w:numPr>
          <w:ilvl w:val="0"/>
          <w:numId w:val="13"/>
        </w:numPr>
        <w:tabs>
          <w:tab w:val="left" w:pos="226"/>
        </w:tabs>
        <w:spacing w:after="240"/>
        <w:jc w:val="both"/>
        <w:rPr>
          <w:color w:val="auto"/>
        </w:rPr>
      </w:pPr>
      <w:r w:rsidRPr="003017BE">
        <w:rPr>
          <w:color w:val="auto"/>
        </w:rPr>
        <w:t>забезпечення здійснення інших повноважень в галузі оборонної та мобілізаційної роботи, передбачених законодавством.</w:t>
      </w:r>
    </w:p>
    <w:p w:rsidR="005A5DC2" w:rsidRPr="003017BE" w:rsidRDefault="005A5DC2" w:rsidP="005A5DC2">
      <w:pPr>
        <w:pStyle w:val="1c"/>
        <w:keepNext/>
        <w:keepLines/>
        <w:numPr>
          <w:ilvl w:val="1"/>
          <w:numId w:val="12"/>
        </w:numPr>
        <w:tabs>
          <w:tab w:val="left" w:pos="548"/>
        </w:tabs>
        <w:spacing w:after="0"/>
        <w:jc w:val="both"/>
        <w:rPr>
          <w:color w:val="auto"/>
        </w:rPr>
      </w:pPr>
      <w:bookmarkStart w:id="6" w:name="bookmark11"/>
      <w:r w:rsidRPr="003017BE">
        <w:rPr>
          <w:color w:val="auto"/>
        </w:rPr>
        <w:t>Ресурсне забезпечення Програми</w:t>
      </w:r>
      <w:bookmarkEnd w:id="6"/>
    </w:p>
    <w:p w:rsidR="005A5DC2" w:rsidRPr="003017BE" w:rsidRDefault="005A5DC2" w:rsidP="005A5DC2">
      <w:pPr>
        <w:pStyle w:val="1a"/>
        <w:tabs>
          <w:tab w:val="left" w:pos="2726"/>
        </w:tabs>
        <w:ind w:firstLine="600"/>
        <w:jc w:val="both"/>
        <w:rPr>
          <w:color w:val="auto"/>
        </w:rPr>
      </w:pPr>
      <w:r w:rsidRPr="003017BE">
        <w:rPr>
          <w:color w:val="auto"/>
        </w:rPr>
        <w:t xml:space="preserve">Фінансове забезпечення Програми здійснюється за рахунок коштів місцевого бюджету на 2025-2027 роки на загальну суму </w:t>
      </w:r>
      <w:r w:rsidR="00E34EAA" w:rsidRPr="003017BE">
        <w:rPr>
          <w:color w:val="auto"/>
        </w:rPr>
        <w:t>20</w:t>
      </w:r>
      <w:r w:rsidR="000841E1" w:rsidRPr="003017BE">
        <w:rPr>
          <w:color w:val="auto"/>
        </w:rPr>
        <w:t>0</w:t>
      </w:r>
      <w:r w:rsidRPr="003017BE">
        <w:rPr>
          <w:color w:val="auto"/>
        </w:rPr>
        <w:t xml:space="preserve"> тис. грн. Фінансування Програми також може здійснюватися з інших джерел, що не суперечать чинному законодавству.</w:t>
      </w:r>
    </w:p>
    <w:p w:rsidR="005A5DC2" w:rsidRPr="003017BE" w:rsidRDefault="005A5DC2" w:rsidP="005A5DC2">
      <w:pPr>
        <w:pStyle w:val="1a"/>
        <w:jc w:val="both"/>
        <w:rPr>
          <w:color w:val="auto"/>
        </w:rPr>
      </w:pPr>
      <w:r w:rsidRPr="003017BE">
        <w:rPr>
          <w:color w:val="auto"/>
        </w:rPr>
        <w:t>Програмою виділяються кошти на:</w:t>
      </w:r>
    </w:p>
    <w:p w:rsidR="005A5DC2" w:rsidRPr="003017BE" w:rsidRDefault="005A5DC2" w:rsidP="005A5DC2">
      <w:pPr>
        <w:pStyle w:val="1a"/>
        <w:numPr>
          <w:ilvl w:val="0"/>
          <w:numId w:val="14"/>
        </w:numPr>
        <w:tabs>
          <w:tab w:val="left" w:pos="614"/>
        </w:tabs>
        <w:jc w:val="both"/>
        <w:rPr>
          <w:color w:val="auto"/>
        </w:rPr>
      </w:pPr>
      <w:r w:rsidRPr="003017BE">
        <w:rPr>
          <w:color w:val="auto"/>
        </w:rPr>
        <w:t>проведення заходів щодо оповіщення, розшуку призовників та військовозобов’язаних, доставки кандидатів на проходження військової служби в навчальні центри та військові частини, перевірки правильності ведення військового обліку на території громади, оплата послуг поштового зв’язку, пов’язаних із необхідністю розсилки повісток адресатам;</w:t>
      </w:r>
    </w:p>
    <w:p w:rsidR="005A5DC2" w:rsidRPr="003017BE" w:rsidRDefault="005A5DC2" w:rsidP="005A5DC2">
      <w:pPr>
        <w:pStyle w:val="1a"/>
        <w:numPr>
          <w:ilvl w:val="0"/>
          <w:numId w:val="14"/>
        </w:numPr>
        <w:tabs>
          <w:tab w:val="left" w:pos="614"/>
        </w:tabs>
        <w:jc w:val="both"/>
        <w:rPr>
          <w:color w:val="auto"/>
        </w:rPr>
      </w:pPr>
      <w:r w:rsidRPr="003017BE">
        <w:rPr>
          <w:color w:val="auto"/>
        </w:rPr>
        <w:t>матеріально-технічне та інформаційне забезпечення виконання заходів програми з питань проведення призову та прийняття громадян на військову службу до лав Збройних Сил України, в тому числі оплата витрат, пов’язаних з друком агітаційно-інформаційних матеріалів з питань популяризації військової служби в Збройних Силах України, зокрема, за контрактом, придбання витратних матеріалів, канцелярських товарів та приладдя, обслуговування оргтехніки</w:t>
      </w:r>
      <w:r w:rsidR="00511030" w:rsidRPr="003017BE">
        <w:rPr>
          <w:b/>
          <w:bCs/>
          <w:color w:val="auto"/>
        </w:rPr>
        <w:t>.</w:t>
      </w:r>
    </w:p>
    <w:p w:rsidR="005A5DC2" w:rsidRPr="003017BE" w:rsidRDefault="005A5DC2" w:rsidP="00511030">
      <w:pPr>
        <w:pStyle w:val="1c"/>
        <w:keepNext/>
        <w:keepLines/>
        <w:spacing w:before="240" w:after="0"/>
        <w:ind w:firstLine="720"/>
        <w:jc w:val="both"/>
        <w:rPr>
          <w:color w:val="auto"/>
        </w:rPr>
      </w:pPr>
      <w:bookmarkStart w:id="7" w:name="bookmark13"/>
      <w:r w:rsidRPr="003017BE">
        <w:rPr>
          <w:color w:val="auto"/>
        </w:rPr>
        <w:t>5.4.Очікувані результативні показники Програми:</w:t>
      </w:r>
      <w:bookmarkEnd w:id="7"/>
    </w:p>
    <w:p w:rsidR="005A5DC2" w:rsidRPr="003017BE" w:rsidRDefault="005A5DC2" w:rsidP="005A5DC2">
      <w:pPr>
        <w:pStyle w:val="1a"/>
        <w:ind w:firstLine="600"/>
        <w:jc w:val="both"/>
        <w:rPr>
          <w:color w:val="auto"/>
        </w:rPr>
      </w:pPr>
      <w:r w:rsidRPr="003017BE">
        <w:rPr>
          <w:color w:val="auto"/>
        </w:rPr>
        <w:t>В результаті виконання заходів Програми буде забезпечено:</w:t>
      </w:r>
    </w:p>
    <w:p w:rsidR="005A5DC2" w:rsidRPr="003017BE" w:rsidRDefault="005A5DC2" w:rsidP="005A5DC2">
      <w:pPr>
        <w:pStyle w:val="1a"/>
        <w:jc w:val="both"/>
        <w:rPr>
          <w:color w:val="auto"/>
        </w:rPr>
      </w:pPr>
      <w:r w:rsidRPr="003017BE">
        <w:rPr>
          <w:color w:val="auto"/>
        </w:rPr>
        <w:t xml:space="preserve">- розшук призовників та військовозобов’язаних, які ухиляються від виконання військового обов’язку та призову на військову </w:t>
      </w:r>
      <w:r w:rsidRPr="003017BE">
        <w:rPr>
          <w:color w:val="auto"/>
          <w:lang w:eastAsia="ru-RU" w:bidi="ru-RU"/>
        </w:rPr>
        <w:t xml:space="preserve">службу в </w:t>
      </w:r>
      <w:r w:rsidRPr="003017BE">
        <w:rPr>
          <w:color w:val="auto"/>
        </w:rPr>
        <w:t xml:space="preserve">Збройних </w:t>
      </w:r>
      <w:r w:rsidRPr="003017BE">
        <w:rPr>
          <w:color w:val="auto"/>
          <w:lang w:eastAsia="ru-RU" w:bidi="ru-RU"/>
        </w:rPr>
        <w:t xml:space="preserve">Силах </w:t>
      </w:r>
      <w:r w:rsidRPr="003017BE">
        <w:rPr>
          <w:color w:val="auto"/>
        </w:rPr>
        <w:t xml:space="preserve">України, їх </w:t>
      </w:r>
      <w:r w:rsidRPr="003017BE">
        <w:rPr>
          <w:color w:val="auto"/>
          <w:lang w:eastAsia="ru-RU" w:bidi="ru-RU"/>
        </w:rPr>
        <w:t xml:space="preserve">доставка до </w:t>
      </w:r>
      <w:r w:rsidRPr="003017BE">
        <w:rPr>
          <w:color w:val="auto"/>
        </w:rPr>
        <w:t>призовних, збірних пунктів, місць дислокації військових частин;</w:t>
      </w:r>
    </w:p>
    <w:p w:rsidR="005A5DC2" w:rsidRPr="003017BE" w:rsidRDefault="005A5DC2" w:rsidP="005A5DC2">
      <w:pPr>
        <w:pStyle w:val="1a"/>
        <w:numPr>
          <w:ilvl w:val="0"/>
          <w:numId w:val="15"/>
        </w:numPr>
        <w:tabs>
          <w:tab w:val="left" w:pos="272"/>
        </w:tabs>
        <w:jc w:val="both"/>
        <w:rPr>
          <w:color w:val="auto"/>
        </w:rPr>
      </w:pPr>
      <w:r w:rsidRPr="003017BE">
        <w:rPr>
          <w:color w:val="auto"/>
        </w:rPr>
        <w:t>вдосконалення системи управління проведенням мобілізації в особливий період;</w:t>
      </w:r>
    </w:p>
    <w:p w:rsidR="005A5DC2" w:rsidRPr="003017BE" w:rsidRDefault="005A5DC2" w:rsidP="005A5DC2">
      <w:pPr>
        <w:pStyle w:val="1a"/>
        <w:numPr>
          <w:ilvl w:val="0"/>
          <w:numId w:val="15"/>
        </w:numPr>
        <w:tabs>
          <w:tab w:val="left" w:pos="277"/>
        </w:tabs>
        <w:jc w:val="both"/>
        <w:rPr>
          <w:color w:val="auto"/>
        </w:rPr>
      </w:pPr>
      <w:r w:rsidRPr="003017BE">
        <w:rPr>
          <w:color w:val="auto"/>
        </w:rPr>
        <w:t>підтримання у належному стані системи оповіщення, збору та відправки мобілізаційних ресурсів в особливий період;</w:t>
      </w:r>
    </w:p>
    <w:p w:rsidR="005A5DC2" w:rsidRPr="003017BE" w:rsidRDefault="005A5DC2" w:rsidP="005A5DC2">
      <w:pPr>
        <w:pStyle w:val="1a"/>
        <w:numPr>
          <w:ilvl w:val="0"/>
          <w:numId w:val="15"/>
        </w:numPr>
        <w:tabs>
          <w:tab w:val="left" w:pos="272"/>
        </w:tabs>
        <w:jc w:val="both"/>
        <w:rPr>
          <w:color w:val="auto"/>
        </w:rPr>
      </w:pPr>
      <w:r w:rsidRPr="003017BE">
        <w:rPr>
          <w:color w:val="auto"/>
        </w:rPr>
        <w:t>вдосконалення роботи військово-облікових і мобілізаційних органів;</w:t>
      </w:r>
    </w:p>
    <w:p w:rsidR="005A5DC2" w:rsidRPr="003017BE" w:rsidRDefault="005A5DC2" w:rsidP="005A5DC2">
      <w:pPr>
        <w:pStyle w:val="1a"/>
        <w:numPr>
          <w:ilvl w:val="0"/>
          <w:numId w:val="15"/>
        </w:numPr>
        <w:tabs>
          <w:tab w:val="left" w:pos="277"/>
        </w:tabs>
        <w:jc w:val="both"/>
        <w:rPr>
          <w:color w:val="auto"/>
        </w:rPr>
      </w:pPr>
      <w:r w:rsidRPr="003017BE">
        <w:rPr>
          <w:color w:val="auto"/>
        </w:rPr>
        <w:t>своєчасне та якісне, у встановлені строки, проведення приписки громадян України до призовної дільниці, забезпечення їх призову, мобілізації людських та інших ресурсів до Збройних Сил України;</w:t>
      </w:r>
    </w:p>
    <w:p w:rsidR="005A5DC2" w:rsidRDefault="005A5DC2" w:rsidP="00924E6C">
      <w:pPr>
        <w:pStyle w:val="1a"/>
        <w:numPr>
          <w:ilvl w:val="0"/>
          <w:numId w:val="15"/>
        </w:numPr>
        <w:tabs>
          <w:tab w:val="left" w:pos="277"/>
        </w:tabs>
        <w:spacing w:after="600"/>
        <w:jc w:val="both"/>
        <w:rPr>
          <w:color w:val="auto"/>
        </w:rPr>
      </w:pPr>
      <w:r w:rsidRPr="003017BE">
        <w:rPr>
          <w:color w:val="auto"/>
        </w:rPr>
        <w:t>належний рівень захисту стратегічних об'єктів та громадян територіальної громади від терористичних та інших загроз.</w:t>
      </w:r>
    </w:p>
    <w:p w:rsidR="00924E6C" w:rsidRPr="00924E6C" w:rsidRDefault="00924E6C" w:rsidP="00924E6C">
      <w:pPr>
        <w:pStyle w:val="1a"/>
        <w:tabs>
          <w:tab w:val="left" w:pos="277"/>
        </w:tabs>
        <w:spacing w:after="600"/>
        <w:jc w:val="both"/>
        <w:rPr>
          <w:color w:val="auto"/>
        </w:rPr>
      </w:pPr>
    </w:p>
    <w:p w:rsidR="003017BE" w:rsidRDefault="003017BE" w:rsidP="005A5DC2">
      <w:pPr>
        <w:pStyle w:val="a0"/>
        <w:jc w:val="right"/>
        <w:rPr>
          <w:sz w:val="24"/>
          <w:szCs w:val="24"/>
        </w:rPr>
      </w:pPr>
    </w:p>
    <w:p w:rsidR="005A5DC2" w:rsidRPr="008569E1" w:rsidRDefault="005A5DC2" w:rsidP="005A5DC2">
      <w:pPr>
        <w:pStyle w:val="a0"/>
        <w:jc w:val="right"/>
        <w:rPr>
          <w:sz w:val="24"/>
          <w:szCs w:val="24"/>
        </w:rPr>
      </w:pPr>
      <w:r w:rsidRPr="008569E1">
        <w:rPr>
          <w:sz w:val="24"/>
          <w:szCs w:val="24"/>
        </w:rPr>
        <w:lastRenderedPageBreak/>
        <w:t xml:space="preserve">                                                                                           Додаток до Програми</w:t>
      </w:r>
    </w:p>
    <w:p w:rsidR="005A5DC2" w:rsidRPr="005A7F5B" w:rsidRDefault="005A5DC2" w:rsidP="005A5DC2">
      <w:pPr>
        <w:pStyle w:val="a0"/>
        <w:jc w:val="center"/>
        <w:rPr>
          <w:b/>
          <w:sz w:val="28"/>
        </w:rPr>
      </w:pPr>
      <w:r w:rsidRPr="005A7F5B">
        <w:rPr>
          <w:b/>
          <w:sz w:val="28"/>
        </w:rPr>
        <w:t>Фінансове забезпечення програми на 2025-2027 роки</w:t>
      </w:r>
    </w:p>
    <w:p w:rsidR="005A5DC2" w:rsidRPr="006836A2" w:rsidRDefault="005A5DC2" w:rsidP="005A5DC2">
      <w:pPr>
        <w:pStyle w:val="a0"/>
        <w:jc w:val="center"/>
        <w:rPr>
          <w:sz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984"/>
        <w:gridCol w:w="1134"/>
        <w:gridCol w:w="1134"/>
        <w:gridCol w:w="1134"/>
        <w:gridCol w:w="3402"/>
      </w:tblGrid>
      <w:tr w:rsidR="000033E8" w:rsidRPr="007E232E" w:rsidTr="000033E8">
        <w:trPr>
          <w:trHeight w:val="74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0033E8" w:rsidRPr="005A7F5B" w:rsidRDefault="000033E8" w:rsidP="00734703">
            <w:pPr>
              <w:pStyle w:val="a0"/>
              <w:jc w:val="center"/>
              <w:rPr>
                <w:b/>
                <w:sz w:val="24"/>
                <w:szCs w:val="24"/>
              </w:rPr>
            </w:pPr>
            <w:r w:rsidRPr="005A7F5B">
              <w:rPr>
                <w:b/>
                <w:sz w:val="24"/>
                <w:szCs w:val="24"/>
              </w:rPr>
              <w:t>№ з/п</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033E8" w:rsidRPr="005A7F5B" w:rsidRDefault="000033E8" w:rsidP="00734703">
            <w:pPr>
              <w:pStyle w:val="a0"/>
              <w:jc w:val="center"/>
              <w:rPr>
                <w:b/>
                <w:sz w:val="24"/>
                <w:szCs w:val="24"/>
              </w:rPr>
            </w:pPr>
            <w:r w:rsidRPr="005A7F5B">
              <w:rPr>
                <w:b/>
                <w:sz w:val="24"/>
                <w:szCs w:val="24"/>
              </w:rPr>
              <w:t>Основні завдання</w:t>
            </w:r>
          </w:p>
        </w:tc>
        <w:tc>
          <w:tcPr>
            <w:tcW w:w="3402" w:type="dxa"/>
            <w:gridSpan w:val="3"/>
            <w:tcBorders>
              <w:top w:val="single" w:sz="4" w:space="0" w:color="auto"/>
              <w:left w:val="single" w:sz="4" w:space="0" w:color="auto"/>
              <w:bottom w:val="single" w:sz="4" w:space="0" w:color="auto"/>
              <w:right w:val="nil"/>
            </w:tcBorders>
            <w:shd w:val="clear" w:color="auto" w:fill="auto"/>
          </w:tcPr>
          <w:p w:rsidR="000033E8" w:rsidRPr="005A7F5B" w:rsidRDefault="000033E8" w:rsidP="00734703">
            <w:pPr>
              <w:pStyle w:val="a0"/>
              <w:jc w:val="center"/>
              <w:rPr>
                <w:b/>
                <w:sz w:val="24"/>
                <w:szCs w:val="24"/>
              </w:rPr>
            </w:pPr>
            <w:r w:rsidRPr="005A7F5B">
              <w:rPr>
                <w:b/>
                <w:sz w:val="24"/>
                <w:szCs w:val="24"/>
              </w:rPr>
              <w:t>Обсяги фінансування по роках, грн.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033E8" w:rsidRPr="005A7F5B" w:rsidRDefault="000033E8" w:rsidP="00734703">
            <w:pPr>
              <w:pStyle w:val="a0"/>
              <w:ind w:right="1246"/>
              <w:jc w:val="center"/>
              <w:rPr>
                <w:b/>
                <w:sz w:val="24"/>
                <w:szCs w:val="24"/>
              </w:rPr>
            </w:pPr>
            <w:r w:rsidRPr="005A7F5B">
              <w:rPr>
                <w:b/>
                <w:sz w:val="24"/>
                <w:szCs w:val="24"/>
              </w:rPr>
              <w:t>Джерела фінансування</w:t>
            </w:r>
          </w:p>
        </w:tc>
      </w:tr>
      <w:tr w:rsidR="000033E8" w:rsidRPr="007E232E" w:rsidTr="000033E8">
        <w:tc>
          <w:tcPr>
            <w:tcW w:w="1135" w:type="dxa"/>
            <w:tcBorders>
              <w:top w:val="single" w:sz="4" w:space="0" w:color="auto"/>
              <w:left w:val="single" w:sz="4" w:space="0" w:color="auto"/>
              <w:bottom w:val="single" w:sz="4" w:space="0" w:color="auto"/>
              <w:right w:val="single" w:sz="4" w:space="0" w:color="auto"/>
            </w:tcBorders>
            <w:shd w:val="clear" w:color="auto" w:fill="auto"/>
          </w:tcPr>
          <w:p w:rsidR="00924E6C" w:rsidRPr="007E232E" w:rsidRDefault="00924E6C" w:rsidP="00734703">
            <w:pPr>
              <w:pStyle w:val="a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24E6C" w:rsidRPr="007E232E" w:rsidRDefault="00924E6C" w:rsidP="00734703">
            <w:pPr>
              <w:pStyle w:val="a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734703">
            <w:pPr>
              <w:pStyle w:val="a0"/>
              <w:jc w:val="center"/>
              <w:rPr>
                <w:sz w:val="24"/>
                <w:szCs w:val="24"/>
              </w:rPr>
            </w:pPr>
            <w:r w:rsidRPr="000033E8">
              <w:rPr>
                <w:sz w:val="24"/>
                <w:szCs w:val="24"/>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734703">
            <w:pPr>
              <w:pStyle w:val="a0"/>
              <w:jc w:val="center"/>
              <w:rPr>
                <w:sz w:val="24"/>
                <w:szCs w:val="24"/>
              </w:rPr>
            </w:pPr>
            <w:r w:rsidRPr="000033E8">
              <w:rPr>
                <w:sz w:val="24"/>
                <w:szCs w:val="24"/>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734703">
            <w:pPr>
              <w:pStyle w:val="a0"/>
              <w:jc w:val="center"/>
              <w:rPr>
                <w:sz w:val="24"/>
                <w:szCs w:val="24"/>
              </w:rPr>
            </w:pPr>
            <w:r w:rsidRPr="000033E8">
              <w:rPr>
                <w:sz w:val="24"/>
                <w:szCs w:val="24"/>
              </w:rPr>
              <w:t>2027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4E6C" w:rsidRPr="007E232E" w:rsidRDefault="00924E6C" w:rsidP="00734703">
            <w:pPr>
              <w:pStyle w:val="a0"/>
              <w:ind w:right="679"/>
              <w:jc w:val="center"/>
              <w:rPr>
                <w:sz w:val="24"/>
                <w:szCs w:val="24"/>
              </w:rPr>
            </w:pPr>
          </w:p>
        </w:tc>
      </w:tr>
      <w:tr w:rsidR="005A7F5B" w:rsidRPr="007E232E" w:rsidTr="005A7F5B">
        <w:trPr>
          <w:trHeight w:val="151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A7F5B" w:rsidRPr="007E232E" w:rsidRDefault="005A7F5B" w:rsidP="00734703">
            <w:pPr>
              <w:pStyle w:val="a0"/>
              <w:jc w:val="center"/>
              <w:rPr>
                <w:sz w:val="24"/>
                <w:szCs w:val="24"/>
              </w:rPr>
            </w:pPr>
            <w:r>
              <w:rPr>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F5B" w:rsidRPr="00924E6C" w:rsidRDefault="005A7F5B" w:rsidP="005A7F5B">
            <w:pPr>
              <w:pStyle w:val="a0"/>
              <w:spacing w:after="0"/>
              <w:jc w:val="left"/>
              <w:rPr>
                <w:sz w:val="24"/>
                <w:szCs w:val="24"/>
              </w:rPr>
            </w:pPr>
            <w:r>
              <w:rPr>
                <w:sz w:val="24"/>
                <w:szCs w:val="24"/>
              </w:rPr>
              <w:t xml:space="preserve">Придбання </w:t>
            </w:r>
            <w:r w:rsidRPr="00924E6C">
              <w:rPr>
                <w:sz w:val="24"/>
                <w:szCs w:val="24"/>
              </w:rPr>
              <w:t>витратних матеріалів, поштових марок та конвертів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7F5B" w:rsidRPr="000033E8" w:rsidRDefault="005A7F5B" w:rsidP="001847AA">
            <w:pPr>
              <w:pStyle w:val="a0"/>
              <w:jc w:val="right"/>
              <w:rPr>
                <w:sz w:val="24"/>
                <w:szCs w:val="24"/>
              </w:rPr>
            </w:pPr>
            <w:r w:rsidRPr="000033E8">
              <w:rPr>
                <w:sz w:val="24"/>
                <w:szCs w:val="24"/>
              </w:rPr>
              <w:t xml:space="preserve">  </w:t>
            </w:r>
          </w:p>
          <w:p w:rsidR="005A7F5B" w:rsidRPr="000033E8" w:rsidRDefault="005A7F5B" w:rsidP="001847AA">
            <w:pPr>
              <w:pStyle w:val="a0"/>
              <w:jc w:val="right"/>
              <w:rPr>
                <w:sz w:val="24"/>
                <w:szCs w:val="24"/>
              </w:rPr>
            </w:pPr>
            <w:r>
              <w:rPr>
                <w:sz w:val="24"/>
                <w:szCs w:val="24"/>
              </w:rPr>
              <w:t>1</w:t>
            </w:r>
            <w:r w:rsidRPr="000033E8">
              <w:rPr>
                <w:sz w:val="24"/>
                <w:szCs w:val="24"/>
              </w:rPr>
              <w:t xml:space="preserve">0 000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7F5B" w:rsidRPr="000033E8" w:rsidRDefault="005A7F5B" w:rsidP="001847AA">
            <w:pPr>
              <w:pStyle w:val="a0"/>
              <w:jc w:val="right"/>
              <w:rPr>
                <w:sz w:val="24"/>
                <w:szCs w:val="24"/>
              </w:rPr>
            </w:pPr>
          </w:p>
          <w:p w:rsidR="005A7F5B" w:rsidRPr="000033E8" w:rsidRDefault="005A7F5B" w:rsidP="001847AA">
            <w:pPr>
              <w:pStyle w:val="a0"/>
              <w:jc w:val="right"/>
              <w:rPr>
                <w:sz w:val="24"/>
                <w:szCs w:val="24"/>
              </w:rPr>
            </w:pPr>
            <w:r>
              <w:rPr>
                <w:sz w:val="24"/>
                <w:szCs w:val="24"/>
              </w:rPr>
              <w:t>2</w:t>
            </w:r>
            <w:r w:rsidRPr="000033E8">
              <w:rPr>
                <w:sz w:val="24"/>
                <w:szCs w:val="24"/>
              </w:rPr>
              <w:t>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7F5B" w:rsidRPr="000033E8" w:rsidRDefault="005A7F5B" w:rsidP="001847AA">
            <w:pPr>
              <w:pStyle w:val="a0"/>
              <w:jc w:val="right"/>
              <w:rPr>
                <w:sz w:val="24"/>
                <w:szCs w:val="24"/>
              </w:rPr>
            </w:pPr>
          </w:p>
          <w:p w:rsidR="005A7F5B" w:rsidRPr="000033E8" w:rsidRDefault="005A7F5B" w:rsidP="001847AA">
            <w:pPr>
              <w:pStyle w:val="a0"/>
              <w:jc w:val="right"/>
              <w:rPr>
                <w:sz w:val="24"/>
                <w:szCs w:val="24"/>
              </w:rPr>
            </w:pPr>
            <w:r>
              <w:rPr>
                <w:sz w:val="24"/>
                <w:szCs w:val="24"/>
              </w:rPr>
              <w:t>2</w:t>
            </w:r>
            <w:r w:rsidRPr="000033E8">
              <w:rPr>
                <w:sz w:val="24"/>
                <w:szCs w:val="24"/>
              </w:rPr>
              <w:t>0 000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A7F5B" w:rsidRDefault="005A7F5B" w:rsidP="005A7F5B">
            <w:pPr>
              <w:pStyle w:val="a0"/>
              <w:spacing w:after="0"/>
              <w:jc w:val="left"/>
              <w:rPr>
                <w:sz w:val="24"/>
                <w:szCs w:val="24"/>
              </w:rPr>
            </w:pPr>
            <w:r w:rsidRPr="00EE28C6">
              <w:rPr>
                <w:sz w:val="24"/>
                <w:szCs w:val="24"/>
              </w:rPr>
              <w:t xml:space="preserve">бюджет </w:t>
            </w:r>
            <w:r>
              <w:rPr>
                <w:sz w:val="24"/>
                <w:szCs w:val="24"/>
              </w:rPr>
              <w:t>Баштечківської</w:t>
            </w:r>
            <w:r w:rsidRPr="00EE28C6">
              <w:rPr>
                <w:sz w:val="24"/>
                <w:szCs w:val="24"/>
              </w:rPr>
              <w:t xml:space="preserve"> </w:t>
            </w:r>
            <w:r>
              <w:rPr>
                <w:sz w:val="24"/>
                <w:szCs w:val="24"/>
              </w:rPr>
              <w:t>сільської</w:t>
            </w:r>
            <w:r w:rsidRPr="00EE28C6">
              <w:rPr>
                <w:sz w:val="24"/>
                <w:szCs w:val="24"/>
              </w:rPr>
              <w:t xml:space="preserve"> територіальної громади</w:t>
            </w:r>
            <w:r>
              <w:rPr>
                <w:sz w:val="24"/>
                <w:szCs w:val="24"/>
              </w:rPr>
              <w:t>,</w:t>
            </w:r>
            <w:r w:rsidRPr="00EE28C6">
              <w:rPr>
                <w:sz w:val="24"/>
                <w:szCs w:val="24"/>
              </w:rPr>
              <w:t xml:space="preserve"> </w:t>
            </w:r>
          </w:p>
          <w:p w:rsidR="005A7F5B" w:rsidRPr="007E232E" w:rsidRDefault="005A7F5B" w:rsidP="005A7F5B">
            <w:pPr>
              <w:pStyle w:val="a0"/>
              <w:spacing w:after="0"/>
              <w:jc w:val="left"/>
              <w:rPr>
                <w:sz w:val="24"/>
                <w:szCs w:val="24"/>
              </w:rPr>
            </w:pPr>
            <w:r w:rsidRPr="00EE28C6">
              <w:rPr>
                <w:sz w:val="24"/>
                <w:szCs w:val="24"/>
              </w:rPr>
              <w:t>інші не заборонені</w:t>
            </w:r>
            <w:r>
              <w:rPr>
                <w:sz w:val="24"/>
                <w:szCs w:val="24"/>
              </w:rPr>
              <w:t xml:space="preserve"> </w:t>
            </w:r>
            <w:r w:rsidRPr="00EE28C6">
              <w:rPr>
                <w:sz w:val="24"/>
                <w:szCs w:val="24"/>
              </w:rPr>
              <w:t>законом джерела</w:t>
            </w:r>
            <w:r>
              <w:rPr>
                <w:sz w:val="24"/>
                <w:szCs w:val="24"/>
              </w:rPr>
              <w:t xml:space="preserve"> фінансування</w:t>
            </w:r>
          </w:p>
        </w:tc>
      </w:tr>
      <w:tr w:rsidR="000033E8" w:rsidRPr="007E232E" w:rsidTr="005A7F5B">
        <w:trPr>
          <w:trHeight w:val="1553"/>
        </w:trPr>
        <w:tc>
          <w:tcPr>
            <w:tcW w:w="1135" w:type="dxa"/>
            <w:tcBorders>
              <w:top w:val="single" w:sz="4" w:space="0" w:color="auto"/>
              <w:left w:val="single" w:sz="4" w:space="0" w:color="auto"/>
              <w:bottom w:val="single" w:sz="4" w:space="0" w:color="auto"/>
              <w:right w:val="single" w:sz="4" w:space="0" w:color="auto"/>
            </w:tcBorders>
            <w:shd w:val="clear" w:color="auto" w:fill="auto"/>
          </w:tcPr>
          <w:p w:rsidR="00924E6C" w:rsidRPr="00CB5CB1" w:rsidRDefault="00924E6C" w:rsidP="00734703">
            <w:pPr>
              <w:pStyle w:val="a0"/>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24E6C" w:rsidRPr="00CB5CB1" w:rsidRDefault="00924E6C" w:rsidP="00734703">
            <w:pPr>
              <w:pStyle w:val="a0"/>
              <w:rPr>
                <w:sz w:val="24"/>
                <w:szCs w:val="24"/>
              </w:rPr>
            </w:pPr>
            <w:r>
              <w:rPr>
                <w:sz w:val="24"/>
                <w:szCs w:val="24"/>
              </w:rPr>
              <w:t>Оплата послуг поштового зв’язку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0033E8">
            <w:pPr>
              <w:pStyle w:val="a0"/>
              <w:jc w:val="right"/>
              <w:rPr>
                <w:sz w:val="24"/>
                <w:szCs w:val="24"/>
              </w:rPr>
            </w:pPr>
            <w:r w:rsidRPr="000033E8">
              <w:rPr>
                <w:sz w:val="24"/>
                <w:szCs w:val="24"/>
              </w:rPr>
              <w:t xml:space="preserve">  </w:t>
            </w:r>
          </w:p>
          <w:p w:rsidR="00924E6C" w:rsidRPr="000033E8" w:rsidRDefault="005A7F5B" w:rsidP="000033E8">
            <w:pPr>
              <w:pStyle w:val="a0"/>
              <w:jc w:val="right"/>
              <w:rPr>
                <w:sz w:val="24"/>
                <w:szCs w:val="24"/>
              </w:rPr>
            </w:pPr>
            <w:r>
              <w:rPr>
                <w:sz w:val="24"/>
                <w:szCs w:val="24"/>
              </w:rPr>
              <w:t>5</w:t>
            </w:r>
            <w:r w:rsidR="00924E6C" w:rsidRPr="000033E8">
              <w:rPr>
                <w:sz w:val="24"/>
                <w:szCs w:val="24"/>
              </w:rPr>
              <w:t xml:space="preserve">0 000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0033E8">
            <w:pPr>
              <w:pStyle w:val="a0"/>
              <w:jc w:val="right"/>
              <w:rPr>
                <w:sz w:val="24"/>
                <w:szCs w:val="24"/>
              </w:rPr>
            </w:pPr>
          </w:p>
          <w:p w:rsidR="00924E6C" w:rsidRPr="000033E8" w:rsidRDefault="005A7F5B" w:rsidP="000033E8">
            <w:pPr>
              <w:pStyle w:val="a0"/>
              <w:jc w:val="right"/>
              <w:rPr>
                <w:sz w:val="24"/>
                <w:szCs w:val="24"/>
              </w:rPr>
            </w:pPr>
            <w:r>
              <w:rPr>
                <w:sz w:val="24"/>
                <w:szCs w:val="24"/>
              </w:rPr>
              <w:t>5</w:t>
            </w:r>
            <w:r w:rsidR="00924E6C" w:rsidRPr="000033E8">
              <w:rPr>
                <w:sz w:val="24"/>
                <w:szCs w:val="24"/>
              </w:rPr>
              <w:t>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0033E8" w:rsidRDefault="00924E6C" w:rsidP="000033E8">
            <w:pPr>
              <w:pStyle w:val="a0"/>
              <w:jc w:val="right"/>
              <w:rPr>
                <w:sz w:val="24"/>
                <w:szCs w:val="24"/>
              </w:rPr>
            </w:pPr>
          </w:p>
          <w:p w:rsidR="00924E6C" w:rsidRPr="000033E8" w:rsidRDefault="005A7F5B" w:rsidP="000033E8">
            <w:pPr>
              <w:pStyle w:val="a0"/>
              <w:jc w:val="right"/>
              <w:rPr>
                <w:sz w:val="24"/>
                <w:szCs w:val="24"/>
              </w:rPr>
            </w:pPr>
            <w:r>
              <w:rPr>
                <w:sz w:val="24"/>
                <w:szCs w:val="24"/>
              </w:rPr>
              <w:t>6</w:t>
            </w:r>
            <w:r w:rsidR="00924E6C" w:rsidRPr="000033E8">
              <w:rPr>
                <w:sz w:val="24"/>
                <w:szCs w:val="24"/>
              </w:rPr>
              <w:t>0 000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033E8" w:rsidRDefault="00924E6C" w:rsidP="000033E8">
            <w:pPr>
              <w:pStyle w:val="a0"/>
              <w:spacing w:after="0"/>
              <w:jc w:val="left"/>
              <w:rPr>
                <w:sz w:val="24"/>
                <w:szCs w:val="24"/>
              </w:rPr>
            </w:pPr>
            <w:r w:rsidRPr="00EE28C6">
              <w:rPr>
                <w:sz w:val="24"/>
                <w:szCs w:val="24"/>
              </w:rPr>
              <w:t xml:space="preserve">бюджет </w:t>
            </w:r>
            <w:r>
              <w:rPr>
                <w:sz w:val="24"/>
                <w:szCs w:val="24"/>
              </w:rPr>
              <w:t>Баштечківської</w:t>
            </w:r>
            <w:r w:rsidRPr="00EE28C6">
              <w:rPr>
                <w:sz w:val="24"/>
                <w:szCs w:val="24"/>
              </w:rPr>
              <w:t xml:space="preserve"> </w:t>
            </w:r>
            <w:r>
              <w:rPr>
                <w:sz w:val="24"/>
                <w:szCs w:val="24"/>
              </w:rPr>
              <w:t>сільської</w:t>
            </w:r>
            <w:r w:rsidRPr="00EE28C6">
              <w:rPr>
                <w:sz w:val="24"/>
                <w:szCs w:val="24"/>
              </w:rPr>
              <w:t xml:space="preserve"> територіальної громади</w:t>
            </w:r>
            <w:r>
              <w:rPr>
                <w:sz w:val="24"/>
                <w:szCs w:val="24"/>
              </w:rPr>
              <w:t>,</w:t>
            </w:r>
            <w:r w:rsidRPr="00EE28C6">
              <w:rPr>
                <w:sz w:val="24"/>
                <w:szCs w:val="24"/>
              </w:rPr>
              <w:t xml:space="preserve"> </w:t>
            </w:r>
          </w:p>
          <w:p w:rsidR="00924E6C" w:rsidRPr="007E232E" w:rsidRDefault="00924E6C" w:rsidP="000033E8">
            <w:pPr>
              <w:pStyle w:val="a0"/>
              <w:spacing w:after="0"/>
              <w:jc w:val="left"/>
              <w:rPr>
                <w:sz w:val="24"/>
                <w:szCs w:val="24"/>
              </w:rPr>
            </w:pPr>
            <w:r w:rsidRPr="00EE28C6">
              <w:rPr>
                <w:sz w:val="24"/>
                <w:szCs w:val="24"/>
              </w:rPr>
              <w:t>інші не заборонені</w:t>
            </w:r>
            <w:r w:rsidR="000033E8">
              <w:rPr>
                <w:sz w:val="24"/>
                <w:szCs w:val="24"/>
              </w:rPr>
              <w:t xml:space="preserve"> </w:t>
            </w:r>
            <w:r w:rsidRPr="00EE28C6">
              <w:rPr>
                <w:sz w:val="24"/>
                <w:szCs w:val="24"/>
              </w:rPr>
              <w:t>законом джерела</w:t>
            </w:r>
            <w:r>
              <w:rPr>
                <w:sz w:val="24"/>
                <w:szCs w:val="24"/>
              </w:rPr>
              <w:t xml:space="preserve"> фінансування</w:t>
            </w:r>
          </w:p>
        </w:tc>
      </w:tr>
      <w:tr w:rsidR="000033E8" w:rsidRPr="005A7F5B" w:rsidTr="000033E8">
        <w:tc>
          <w:tcPr>
            <w:tcW w:w="1135" w:type="dxa"/>
            <w:tcBorders>
              <w:top w:val="single" w:sz="4" w:space="0" w:color="auto"/>
              <w:left w:val="single" w:sz="4" w:space="0" w:color="auto"/>
              <w:bottom w:val="single" w:sz="4" w:space="0" w:color="auto"/>
              <w:right w:val="single" w:sz="4" w:space="0" w:color="auto"/>
            </w:tcBorders>
            <w:shd w:val="clear" w:color="auto" w:fill="auto"/>
          </w:tcPr>
          <w:p w:rsidR="00924E6C" w:rsidRPr="005A7F5B" w:rsidRDefault="00924E6C" w:rsidP="003A45A1">
            <w:pPr>
              <w:pStyle w:val="a0"/>
              <w:jc w:val="center"/>
              <w:rPr>
                <w:b/>
                <w:sz w:val="24"/>
                <w:szCs w:val="24"/>
              </w:rPr>
            </w:pPr>
            <w:r w:rsidRPr="005A7F5B">
              <w:rPr>
                <w:b/>
                <w:sz w:val="24"/>
                <w:szCs w:val="24"/>
              </w:rPr>
              <w:t>Всього:  200 000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24E6C" w:rsidRPr="005A7F5B" w:rsidRDefault="00924E6C" w:rsidP="00734703">
            <w:pPr>
              <w:pStyle w:val="a0"/>
              <w:jc w:val="left"/>
              <w:rPr>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5A7F5B" w:rsidRDefault="00924E6C" w:rsidP="000033E8">
            <w:pPr>
              <w:pStyle w:val="a0"/>
              <w:jc w:val="right"/>
              <w:rPr>
                <w:b/>
                <w:sz w:val="24"/>
                <w:szCs w:val="24"/>
              </w:rPr>
            </w:pPr>
            <w:r w:rsidRPr="005A7F5B">
              <w:rPr>
                <w:b/>
                <w:sz w:val="24"/>
                <w:szCs w:val="24"/>
              </w:rPr>
              <w:t>60 000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5A7F5B" w:rsidRDefault="00924E6C" w:rsidP="000033E8">
            <w:pPr>
              <w:pStyle w:val="a0"/>
              <w:jc w:val="right"/>
              <w:rPr>
                <w:b/>
                <w:sz w:val="24"/>
                <w:szCs w:val="24"/>
              </w:rPr>
            </w:pPr>
            <w:r w:rsidRPr="005A7F5B">
              <w:rPr>
                <w:b/>
                <w:sz w:val="24"/>
                <w:szCs w:val="24"/>
              </w:rPr>
              <w:t>70 000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E6C" w:rsidRPr="005A7F5B" w:rsidRDefault="00924E6C" w:rsidP="000033E8">
            <w:pPr>
              <w:pStyle w:val="a0"/>
              <w:jc w:val="right"/>
              <w:rPr>
                <w:b/>
                <w:sz w:val="24"/>
                <w:szCs w:val="24"/>
              </w:rPr>
            </w:pPr>
            <w:r w:rsidRPr="005A7F5B">
              <w:rPr>
                <w:b/>
                <w:sz w:val="24"/>
                <w:szCs w:val="24"/>
              </w:rPr>
              <w:t>80 000</w:t>
            </w:r>
          </w:p>
        </w:tc>
        <w:tc>
          <w:tcPr>
            <w:tcW w:w="3402" w:type="dxa"/>
          </w:tcPr>
          <w:p w:rsidR="00924E6C" w:rsidRPr="005A7F5B" w:rsidRDefault="00924E6C" w:rsidP="00734703">
            <w:pPr>
              <w:pStyle w:val="a0"/>
              <w:jc w:val="left"/>
              <w:rPr>
                <w:b/>
                <w:sz w:val="24"/>
                <w:szCs w:val="24"/>
              </w:rPr>
            </w:pPr>
          </w:p>
        </w:tc>
      </w:tr>
    </w:tbl>
    <w:p w:rsidR="005A5DC2" w:rsidRPr="005A7F5B" w:rsidRDefault="005A5DC2" w:rsidP="005A5DC2">
      <w:pPr>
        <w:suppressAutoHyphens w:val="0"/>
        <w:spacing w:line="240" w:lineRule="auto"/>
        <w:rPr>
          <w:b/>
          <w:sz w:val="28"/>
          <w:szCs w:val="28"/>
          <w:lang w:eastAsia="ru-RU"/>
        </w:rPr>
      </w:pPr>
    </w:p>
    <w:p w:rsidR="000358BE" w:rsidRPr="009532BE" w:rsidRDefault="000358BE" w:rsidP="009532BE"/>
    <w:sectPr w:rsidR="000358BE" w:rsidRPr="009532BE" w:rsidSect="00734703">
      <w:pgSz w:w="11906" w:h="16838"/>
      <w:pgMar w:top="709" w:right="567" w:bottom="425" w:left="1588" w:header="709" w:footer="714" w:gutter="0"/>
      <w:cols w:space="720"/>
      <w:docGrid w:linePitch="6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3A" w:rsidRDefault="0033503A">
      <w:pPr>
        <w:spacing w:line="240" w:lineRule="auto"/>
      </w:pPr>
      <w:r>
        <w:separator/>
      </w:r>
    </w:p>
  </w:endnote>
  <w:endnote w:type="continuationSeparator" w:id="0">
    <w:p w:rsidR="0033503A" w:rsidRDefault="00335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Dauphin">
    <w:altName w:val="Georgia"/>
    <w:charset w:val="00"/>
    <w:family w:val="roman"/>
    <w:pitch w:val="variable"/>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font171">
    <w:charset w:val="CC"/>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3A" w:rsidRDefault="0033503A">
      <w:pPr>
        <w:spacing w:line="240" w:lineRule="auto"/>
      </w:pPr>
      <w:r>
        <w:separator/>
      </w:r>
    </w:p>
  </w:footnote>
  <w:footnote w:type="continuationSeparator" w:id="0">
    <w:p w:rsidR="0033503A" w:rsidRDefault="003350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40895"/>
    <w:multiLevelType w:val="multilevel"/>
    <w:tmpl w:val="E1A86464"/>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E6AA9"/>
    <w:multiLevelType w:val="multilevel"/>
    <w:tmpl w:val="35BCBB14"/>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55D7F"/>
    <w:multiLevelType w:val="multilevel"/>
    <w:tmpl w:val="20D03802"/>
    <w:lvl w:ilvl="0">
      <w:start w:val="5"/>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333333"/>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812D7"/>
    <w:multiLevelType w:val="multilevel"/>
    <w:tmpl w:val="C63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049BD"/>
    <w:multiLevelType w:val="multilevel"/>
    <w:tmpl w:val="4D6ECF5E"/>
    <w:lvl w:ilvl="0">
      <w:start w:val="3"/>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896EFB"/>
    <w:multiLevelType w:val="hybridMultilevel"/>
    <w:tmpl w:val="7896A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E7626D9"/>
    <w:multiLevelType w:val="hybridMultilevel"/>
    <w:tmpl w:val="CBC4D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051F77"/>
    <w:multiLevelType w:val="multilevel"/>
    <w:tmpl w:val="928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F0E41"/>
    <w:multiLevelType w:val="multilevel"/>
    <w:tmpl w:val="0D3E76B8"/>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00510C"/>
    <w:multiLevelType w:val="multilevel"/>
    <w:tmpl w:val="21A65110"/>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A06406"/>
    <w:multiLevelType w:val="multilevel"/>
    <w:tmpl w:val="200CD9A6"/>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AC19EC"/>
    <w:multiLevelType w:val="multilevel"/>
    <w:tmpl w:val="30569B02"/>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6A625D"/>
    <w:multiLevelType w:val="hybridMultilevel"/>
    <w:tmpl w:val="7896A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8"/>
  </w:num>
  <w:num w:numId="7">
    <w:abstractNumId w:val="7"/>
  </w:num>
  <w:num w:numId="8">
    <w:abstractNumId w:val="11"/>
  </w:num>
  <w:num w:numId="9">
    <w:abstractNumId w:val="5"/>
  </w:num>
  <w:num w:numId="10">
    <w:abstractNumId w:val="1"/>
  </w:num>
  <w:num w:numId="11">
    <w:abstractNumId w:val="10"/>
  </w:num>
  <w:num w:numId="12">
    <w:abstractNumId w:val="3"/>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65"/>
    <w:rsid w:val="000033E8"/>
    <w:rsid w:val="0003041F"/>
    <w:rsid w:val="000310D2"/>
    <w:rsid w:val="0003378A"/>
    <w:rsid w:val="000348DB"/>
    <w:rsid w:val="000358BE"/>
    <w:rsid w:val="00037818"/>
    <w:rsid w:val="00042AFD"/>
    <w:rsid w:val="000432D0"/>
    <w:rsid w:val="00050664"/>
    <w:rsid w:val="000553A4"/>
    <w:rsid w:val="00062C07"/>
    <w:rsid w:val="0006668D"/>
    <w:rsid w:val="00066E36"/>
    <w:rsid w:val="0007071E"/>
    <w:rsid w:val="00074EE5"/>
    <w:rsid w:val="0008375A"/>
    <w:rsid w:val="000841CD"/>
    <w:rsid w:val="000841E1"/>
    <w:rsid w:val="0008728B"/>
    <w:rsid w:val="00092889"/>
    <w:rsid w:val="000A0A61"/>
    <w:rsid w:val="000A144E"/>
    <w:rsid w:val="000A4C53"/>
    <w:rsid w:val="000B5F79"/>
    <w:rsid w:val="000C5312"/>
    <w:rsid w:val="000D2431"/>
    <w:rsid w:val="000D7039"/>
    <w:rsid w:val="000E27E0"/>
    <w:rsid w:val="000E4240"/>
    <w:rsid w:val="000F1BCA"/>
    <w:rsid w:val="000F2AD5"/>
    <w:rsid w:val="00103016"/>
    <w:rsid w:val="00104BF9"/>
    <w:rsid w:val="001129F1"/>
    <w:rsid w:val="0012458E"/>
    <w:rsid w:val="00131E14"/>
    <w:rsid w:val="00137A42"/>
    <w:rsid w:val="00140F85"/>
    <w:rsid w:val="00145ADC"/>
    <w:rsid w:val="00154B77"/>
    <w:rsid w:val="001570AC"/>
    <w:rsid w:val="00157F94"/>
    <w:rsid w:val="001721E7"/>
    <w:rsid w:val="00180C93"/>
    <w:rsid w:val="001843EB"/>
    <w:rsid w:val="001850C4"/>
    <w:rsid w:val="0019209F"/>
    <w:rsid w:val="00197A3E"/>
    <w:rsid w:val="001B7CEE"/>
    <w:rsid w:val="001C6A12"/>
    <w:rsid w:val="001D3F61"/>
    <w:rsid w:val="001D464F"/>
    <w:rsid w:val="001D7985"/>
    <w:rsid w:val="001D7A2F"/>
    <w:rsid w:val="001E0255"/>
    <w:rsid w:val="001F435D"/>
    <w:rsid w:val="002044EA"/>
    <w:rsid w:val="00205237"/>
    <w:rsid w:val="002111AC"/>
    <w:rsid w:val="00212A68"/>
    <w:rsid w:val="00215CBD"/>
    <w:rsid w:val="00217CE2"/>
    <w:rsid w:val="0024008F"/>
    <w:rsid w:val="00242F45"/>
    <w:rsid w:val="002431E2"/>
    <w:rsid w:val="00247DC9"/>
    <w:rsid w:val="00254DFF"/>
    <w:rsid w:val="00273662"/>
    <w:rsid w:val="00274213"/>
    <w:rsid w:val="00283C8F"/>
    <w:rsid w:val="00283E5A"/>
    <w:rsid w:val="0029498A"/>
    <w:rsid w:val="002951D6"/>
    <w:rsid w:val="002973F7"/>
    <w:rsid w:val="002A0A4C"/>
    <w:rsid w:val="002B59E2"/>
    <w:rsid w:val="002C52E6"/>
    <w:rsid w:val="002C7A1F"/>
    <w:rsid w:val="002D010C"/>
    <w:rsid w:val="002E1352"/>
    <w:rsid w:val="002E4E8F"/>
    <w:rsid w:val="002E67C4"/>
    <w:rsid w:val="002F4C55"/>
    <w:rsid w:val="003017BE"/>
    <w:rsid w:val="003045F7"/>
    <w:rsid w:val="00311EEE"/>
    <w:rsid w:val="0032352E"/>
    <w:rsid w:val="0032788A"/>
    <w:rsid w:val="0033503A"/>
    <w:rsid w:val="0035001E"/>
    <w:rsid w:val="00366FFA"/>
    <w:rsid w:val="00381367"/>
    <w:rsid w:val="00381B30"/>
    <w:rsid w:val="00383CBC"/>
    <w:rsid w:val="003907B6"/>
    <w:rsid w:val="003A45A1"/>
    <w:rsid w:val="003A55F2"/>
    <w:rsid w:val="003D1259"/>
    <w:rsid w:val="003D49E8"/>
    <w:rsid w:val="003E17DA"/>
    <w:rsid w:val="003E2BAA"/>
    <w:rsid w:val="003F53FA"/>
    <w:rsid w:val="00402C66"/>
    <w:rsid w:val="00424AE9"/>
    <w:rsid w:val="004323C9"/>
    <w:rsid w:val="0044456C"/>
    <w:rsid w:val="00450159"/>
    <w:rsid w:val="00454219"/>
    <w:rsid w:val="004654CE"/>
    <w:rsid w:val="004905CD"/>
    <w:rsid w:val="00497575"/>
    <w:rsid w:val="004A1A29"/>
    <w:rsid w:val="004C33F2"/>
    <w:rsid w:val="004C49C5"/>
    <w:rsid w:val="004C5C65"/>
    <w:rsid w:val="004D361C"/>
    <w:rsid w:val="004D39F5"/>
    <w:rsid w:val="004F5D80"/>
    <w:rsid w:val="004F7C88"/>
    <w:rsid w:val="005072D3"/>
    <w:rsid w:val="00511030"/>
    <w:rsid w:val="005137ED"/>
    <w:rsid w:val="00520C47"/>
    <w:rsid w:val="005214D9"/>
    <w:rsid w:val="00523D3E"/>
    <w:rsid w:val="00546DF8"/>
    <w:rsid w:val="00547421"/>
    <w:rsid w:val="005528BC"/>
    <w:rsid w:val="00560E9B"/>
    <w:rsid w:val="005669E3"/>
    <w:rsid w:val="00573E96"/>
    <w:rsid w:val="005867A9"/>
    <w:rsid w:val="00591F7E"/>
    <w:rsid w:val="0059686A"/>
    <w:rsid w:val="005A5DC2"/>
    <w:rsid w:val="005A7F5B"/>
    <w:rsid w:val="005B3623"/>
    <w:rsid w:val="005B67C8"/>
    <w:rsid w:val="005C26B1"/>
    <w:rsid w:val="005C425B"/>
    <w:rsid w:val="005E5173"/>
    <w:rsid w:val="005E6AD4"/>
    <w:rsid w:val="005F7422"/>
    <w:rsid w:val="00613612"/>
    <w:rsid w:val="0061769B"/>
    <w:rsid w:val="00623655"/>
    <w:rsid w:val="00627F0C"/>
    <w:rsid w:val="0064372E"/>
    <w:rsid w:val="00653DD4"/>
    <w:rsid w:val="0065474F"/>
    <w:rsid w:val="00660332"/>
    <w:rsid w:val="006658C7"/>
    <w:rsid w:val="0067169C"/>
    <w:rsid w:val="006830C5"/>
    <w:rsid w:val="006A0D12"/>
    <w:rsid w:val="006A1CC0"/>
    <w:rsid w:val="006A5582"/>
    <w:rsid w:val="006B1307"/>
    <w:rsid w:val="006B534D"/>
    <w:rsid w:val="006B79D3"/>
    <w:rsid w:val="006D4CD8"/>
    <w:rsid w:val="006D5A55"/>
    <w:rsid w:val="006E042D"/>
    <w:rsid w:val="006E42E0"/>
    <w:rsid w:val="006E7A45"/>
    <w:rsid w:val="006F1191"/>
    <w:rsid w:val="006F3691"/>
    <w:rsid w:val="007015F2"/>
    <w:rsid w:val="0070747D"/>
    <w:rsid w:val="00711F85"/>
    <w:rsid w:val="007127D1"/>
    <w:rsid w:val="00712C2E"/>
    <w:rsid w:val="00716C37"/>
    <w:rsid w:val="00724A1B"/>
    <w:rsid w:val="0073224C"/>
    <w:rsid w:val="00734703"/>
    <w:rsid w:val="007355E1"/>
    <w:rsid w:val="00737DB1"/>
    <w:rsid w:val="007462FE"/>
    <w:rsid w:val="007521D8"/>
    <w:rsid w:val="00755336"/>
    <w:rsid w:val="0075610B"/>
    <w:rsid w:val="00756304"/>
    <w:rsid w:val="0077489B"/>
    <w:rsid w:val="00776A13"/>
    <w:rsid w:val="0078407E"/>
    <w:rsid w:val="00786F23"/>
    <w:rsid w:val="00794CB4"/>
    <w:rsid w:val="00794EDD"/>
    <w:rsid w:val="00797C6B"/>
    <w:rsid w:val="007A3723"/>
    <w:rsid w:val="007A3F10"/>
    <w:rsid w:val="007A433B"/>
    <w:rsid w:val="007A6E5D"/>
    <w:rsid w:val="007D5EF3"/>
    <w:rsid w:val="007E1C1A"/>
    <w:rsid w:val="007F1466"/>
    <w:rsid w:val="007F7D6C"/>
    <w:rsid w:val="00802C12"/>
    <w:rsid w:val="008030D0"/>
    <w:rsid w:val="00810F90"/>
    <w:rsid w:val="00824AAE"/>
    <w:rsid w:val="00826BD4"/>
    <w:rsid w:val="00826C93"/>
    <w:rsid w:val="00830778"/>
    <w:rsid w:val="00836D52"/>
    <w:rsid w:val="00845A74"/>
    <w:rsid w:val="00856CF2"/>
    <w:rsid w:val="008613E8"/>
    <w:rsid w:val="00866774"/>
    <w:rsid w:val="00874450"/>
    <w:rsid w:val="00876E77"/>
    <w:rsid w:val="00881964"/>
    <w:rsid w:val="00883F73"/>
    <w:rsid w:val="008872C7"/>
    <w:rsid w:val="00890673"/>
    <w:rsid w:val="008A2FDA"/>
    <w:rsid w:val="008B40BF"/>
    <w:rsid w:val="008B501B"/>
    <w:rsid w:val="008B7270"/>
    <w:rsid w:val="008B74B2"/>
    <w:rsid w:val="008B78E8"/>
    <w:rsid w:val="008C0B6E"/>
    <w:rsid w:val="008C0E8D"/>
    <w:rsid w:val="008C3775"/>
    <w:rsid w:val="008E1560"/>
    <w:rsid w:val="008E2F21"/>
    <w:rsid w:val="008E6C38"/>
    <w:rsid w:val="008F4B39"/>
    <w:rsid w:val="0090069C"/>
    <w:rsid w:val="0090499C"/>
    <w:rsid w:val="00914411"/>
    <w:rsid w:val="0091793E"/>
    <w:rsid w:val="00921CEC"/>
    <w:rsid w:val="00924E6C"/>
    <w:rsid w:val="009350F0"/>
    <w:rsid w:val="0093609E"/>
    <w:rsid w:val="00951247"/>
    <w:rsid w:val="00952F68"/>
    <w:rsid w:val="009532BE"/>
    <w:rsid w:val="00957CDC"/>
    <w:rsid w:val="00960C1A"/>
    <w:rsid w:val="00963193"/>
    <w:rsid w:val="00967535"/>
    <w:rsid w:val="00982958"/>
    <w:rsid w:val="00982CEB"/>
    <w:rsid w:val="009838A5"/>
    <w:rsid w:val="0098681D"/>
    <w:rsid w:val="00997034"/>
    <w:rsid w:val="009A15B5"/>
    <w:rsid w:val="009A6E42"/>
    <w:rsid w:val="009C5D9A"/>
    <w:rsid w:val="009D12C9"/>
    <w:rsid w:val="009D34EA"/>
    <w:rsid w:val="009E3618"/>
    <w:rsid w:val="00A14CB8"/>
    <w:rsid w:val="00A17A3B"/>
    <w:rsid w:val="00A37309"/>
    <w:rsid w:val="00A378B9"/>
    <w:rsid w:val="00A4072A"/>
    <w:rsid w:val="00A47E35"/>
    <w:rsid w:val="00A51980"/>
    <w:rsid w:val="00A557D7"/>
    <w:rsid w:val="00A55D17"/>
    <w:rsid w:val="00A6463E"/>
    <w:rsid w:val="00A67CA1"/>
    <w:rsid w:val="00A7135F"/>
    <w:rsid w:val="00A739FC"/>
    <w:rsid w:val="00A83AEE"/>
    <w:rsid w:val="00A872F0"/>
    <w:rsid w:val="00A91D18"/>
    <w:rsid w:val="00AA7AF7"/>
    <w:rsid w:val="00AB0267"/>
    <w:rsid w:val="00AB3CD4"/>
    <w:rsid w:val="00AC5CF2"/>
    <w:rsid w:val="00AC6181"/>
    <w:rsid w:val="00AD62FB"/>
    <w:rsid w:val="00AF2BE1"/>
    <w:rsid w:val="00AF7781"/>
    <w:rsid w:val="00B11AA9"/>
    <w:rsid w:val="00B11F53"/>
    <w:rsid w:val="00B123B6"/>
    <w:rsid w:val="00B1246B"/>
    <w:rsid w:val="00B24138"/>
    <w:rsid w:val="00B32B12"/>
    <w:rsid w:val="00B34006"/>
    <w:rsid w:val="00B36D15"/>
    <w:rsid w:val="00B44661"/>
    <w:rsid w:val="00B541EF"/>
    <w:rsid w:val="00B733E0"/>
    <w:rsid w:val="00B81E00"/>
    <w:rsid w:val="00B8275A"/>
    <w:rsid w:val="00B90521"/>
    <w:rsid w:val="00BA071E"/>
    <w:rsid w:val="00BA3A96"/>
    <w:rsid w:val="00BA40A8"/>
    <w:rsid w:val="00BB79D9"/>
    <w:rsid w:val="00BC5A21"/>
    <w:rsid w:val="00BD1FC0"/>
    <w:rsid w:val="00BD3A10"/>
    <w:rsid w:val="00C156ED"/>
    <w:rsid w:val="00C26892"/>
    <w:rsid w:val="00C30E01"/>
    <w:rsid w:val="00C33680"/>
    <w:rsid w:val="00C3624C"/>
    <w:rsid w:val="00C4003A"/>
    <w:rsid w:val="00C441D2"/>
    <w:rsid w:val="00C458E6"/>
    <w:rsid w:val="00C47943"/>
    <w:rsid w:val="00C5494E"/>
    <w:rsid w:val="00C56FE7"/>
    <w:rsid w:val="00C763CB"/>
    <w:rsid w:val="00C90435"/>
    <w:rsid w:val="00C911BC"/>
    <w:rsid w:val="00C932A3"/>
    <w:rsid w:val="00C93385"/>
    <w:rsid w:val="00C94410"/>
    <w:rsid w:val="00C95D50"/>
    <w:rsid w:val="00CA6EE6"/>
    <w:rsid w:val="00CA7F55"/>
    <w:rsid w:val="00CF7ACA"/>
    <w:rsid w:val="00D11F58"/>
    <w:rsid w:val="00D142D8"/>
    <w:rsid w:val="00D144DF"/>
    <w:rsid w:val="00D15749"/>
    <w:rsid w:val="00D16051"/>
    <w:rsid w:val="00D168FA"/>
    <w:rsid w:val="00D2184A"/>
    <w:rsid w:val="00D26027"/>
    <w:rsid w:val="00D46A50"/>
    <w:rsid w:val="00D53B51"/>
    <w:rsid w:val="00D629F0"/>
    <w:rsid w:val="00D63B4E"/>
    <w:rsid w:val="00D81854"/>
    <w:rsid w:val="00D855BE"/>
    <w:rsid w:val="00D93163"/>
    <w:rsid w:val="00DA22EB"/>
    <w:rsid w:val="00DB49D2"/>
    <w:rsid w:val="00DB4D1D"/>
    <w:rsid w:val="00DB5CE0"/>
    <w:rsid w:val="00DB625F"/>
    <w:rsid w:val="00DB6457"/>
    <w:rsid w:val="00DD0698"/>
    <w:rsid w:val="00DF079C"/>
    <w:rsid w:val="00E04D20"/>
    <w:rsid w:val="00E17E51"/>
    <w:rsid w:val="00E20466"/>
    <w:rsid w:val="00E23708"/>
    <w:rsid w:val="00E23A3B"/>
    <w:rsid w:val="00E34EAA"/>
    <w:rsid w:val="00E63601"/>
    <w:rsid w:val="00E649CB"/>
    <w:rsid w:val="00E85165"/>
    <w:rsid w:val="00E957E1"/>
    <w:rsid w:val="00EA33D3"/>
    <w:rsid w:val="00EA7B27"/>
    <w:rsid w:val="00EB3FDF"/>
    <w:rsid w:val="00EB7DA0"/>
    <w:rsid w:val="00EC4920"/>
    <w:rsid w:val="00EC6C97"/>
    <w:rsid w:val="00EC6D76"/>
    <w:rsid w:val="00ED202D"/>
    <w:rsid w:val="00ED2E77"/>
    <w:rsid w:val="00EE00FA"/>
    <w:rsid w:val="00EE2B05"/>
    <w:rsid w:val="00F00149"/>
    <w:rsid w:val="00F04BB8"/>
    <w:rsid w:val="00F0639B"/>
    <w:rsid w:val="00F169FB"/>
    <w:rsid w:val="00F20B10"/>
    <w:rsid w:val="00F24230"/>
    <w:rsid w:val="00F32C02"/>
    <w:rsid w:val="00F34A73"/>
    <w:rsid w:val="00F42F11"/>
    <w:rsid w:val="00F523BC"/>
    <w:rsid w:val="00F53794"/>
    <w:rsid w:val="00F546A2"/>
    <w:rsid w:val="00F55199"/>
    <w:rsid w:val="00F624EC"/>
    <w:rsid w:val="00F73855"/>
    <w:rsid w:val="00F76FC8"/>
    <w:rsid w:val="00F8620A"/>
    <w:rsid w:val="00F91158"/>
    <w:rsid w:val="00F91FE6"/>
    <w:rsid w:val="00F92F34"/>
    <w:rsid w:val="00FB6096"/>
    <w:rsid w:val="00FC0DA9"/>
    <w:rsid w:val="00FE53A7"/>
    <w:rsid w:val="00FF0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ED0063"/>
  <w15:docId w15:val="{426D6E10-8527-4414-96B5-F68C1345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23"/>
    <w:pPr>
      <w:suppressAutoHyphens/>
      <w:spacing w:line="100" w:lineRule="atLeast"/>
      <w:jc w:val="both"/>
    </w:pPr>
    <w:rPr>
      <w:sz w:val="26"/>
      <w:szCs w:val="26"/>
      <w:lang w:val="uk-UA" w:eastAsia="zh-CN"/>
    </w:rPr>
  </w:style>
  <w:style w:type="paragraph" w:styleId="1">
    <w:name w:val="heading 1"/>
    <w:basedOn w:val="a"/>
    <w:next w:val="a"/>
    <w:qFormat/>
    <w:rsid w:val="007A3723"/>
    <w:pPr>
      <w:keepNext/>
      <w:numPr>
        <w:numId w:val="1"/>
      </w:numPr>
      <w:spacing w:line="240" w:lineRule="auto"/>
      <w:outlineLvl w:val="0"/>
    </w:pPr>
    <w:rPr>
      <w:sz w:val="28"/>
      <w:szCs w:val="24"/>
    </w:rPr>
  </w:style>
  <w:style w:type="paragraph" w:styleId="2">
    <w:name w:val="heading 2"/>
    <w:basedOn w:val="a"/>
    <w:next w:val="a0"/>
    <w:qFormat/>
    <w:rsid w:val="007A3723"/>
    <w:pPr>
      <w:keepNext/>
      <w:numPr>
        <w:ilvl w:val="1"/>
        <w:numId w:val="1"/>
      </w:numPr>
      <w:suppressAutoHyphens w:val="0"/>
      <w:spacing w:before="240" w:after="60"/>
      <w:jc w:val="left"/>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A3723"/>
  </w:style>
  <w:style w:type="character" w:customStyle="1" w:styleId="WW8Num1z1">
    <w:name w:val="WW8Num1z1"/>
    <w:rsid w:val="007A3723"/>
  </w:style>
  <w:style w:type="character" w:customStyle="1" w:styleId="WW8Num1z2">
    <w:name w:val="WW8Num1z2"/>
    <w:rsid w:val="007A3723"/>
  </w:style>
  <w:style w:type="character" w:customStyle="1" w:styleId="WW8Num1z3">
    <w:name w:val="WW8Num1z3"/>
    <w:rsid w:val="007A3723"/>
  </w:style>
  <w:style w:type="character" w:customStyle="1" w:styleId="WW8Num1z4">
    <w:name w:val="WW8Num1z4"/>
    <w:rsid w:val="007A3723"/>
  </w:style>
  <w:style w:type="character" w:customStyle="1" w:styleId="WW8Num1z5">
    <w:name w:val="WW8Num1z5"/>
    <w:rsid w:val="007A3723"/>
  </w:style>
  <w:style w:type="character" w:customStyle="1" w:styleId="WW8Num1z6">
    <w:name w:val="WW8Num1z6"/>
    <w:rsid w:val="007A3723"/>
  </w:style>
  <w:style w:type="character" w:customStyle="1" w:styleId="WW8Num1z7">
    <w:name w:val="WW8Num1z7"/>
    <w:rsid w:val="007A3723"/>
  </w:style>
  <w:style w:type="character" w:customStyle="1" w:styleId="WW8Num1z8">
    <w:name w:val="WW8Num1z8"/>
    <w:rsid w:val="007A3723"/>
  </w:style>
  <w:style w:type="character" w:customStyle="1" w:styleId="20">
    <w:name w:val="Основной шрифт абзаца2"/>
    <w:rsid w:val="007A3723"/>
  </w:style>
  <w:style w:type="character" w:customStyle="1" w:styleId="10">
    <w:name w:val="Шрифт абзацу за промовчанням1"/>
    <w:rsid w:val="007A3723"/>
  </w:style>
  <w:style w:type="character" w:customStyle="1" w:styleId="21">
    <w:name w:val="Основной текст 2 Знак"/>
    <w:rsid w:val="007A3723"/>
    <w:rPr>
      <w:rFonts w:ascii="Times New Roman" w:eastAsia="Times New Roman" w:hAnsi="Times New Roman" w:cs="Times New Roman"/>
      <w:sz w:val="26"/>
      <w:szCs w:val="26"/>
      <w:lang w:val="uk-UA"/>
    </w:rPr>
  </w:style>
  <w:style w:type="character" w:customStyle="1" w:styleId="22">
    <w:name w:val="Заголовок 2 Знак"/>
    <w:rsid w:val="007A3723"/>
    <w:rPr>
      <w:rFonts w:ascii="Arial" w:eastAsia="Times New Roman" w:hAnsi="Arial" w:cs="Arial"/>
      <w:b/>
      <w:bCs/>
      <w:i/>
      <w:iCs/>
      <w:sz w:val="28"/>
      <w:szCs w:val="28"/>
      <w:lang w:val="uk-UA"/>
    </w:rPr>
  </w:style>
  <w:style w:type="character" w:customStyle="1" w:styleId="a4">
    <w:name w:val="Верхний колонтитул Знак"/>
    <w:rsid w:val="007A3723"/>
    <w:rPr>
      <w:rFonts w:ascii="Times New Roman" w:eastAsia="Times New Roman" w:hAnsi="Times New Roman" w:cs="Times New Roman"/>
      <w:sz w:val="28"/>
      <w:szCs w:val="28"/>
      <w:lang w:val="uk-UA"/>
    </w:rPr>
  </w:style>
  <w:style w:type="character" w:customStyle="1" w:styleId="a5">
    <w:name w:val="Нижний колонтитул Знак"/>
    <w:rsid w:val="007A3723"/>
    <w:rPr>
      <w:rFonts w:ascii="Times New Roman" w:eastAsia="Times New Roman" w:hAnsi="Times New Roman" w:cs="Times New Roman"/>
      <w:sz w:val="28"/>
      <w:szCs w:val="28"/>
      <w:lang w:val="uk-UA"/>
    </w:rPr>
  </w:style>
  <w:style w:type="character" w:customStyle="1" w:styleId="11">
    <w:name w:val="Номер сторінки1"/>
    <w:basedOn w:val="10"/>
    <w:rsid w:val="007A3723"/>
  </w:style>
  <w:style w:type="character" w:customStyle="1" w:styleId="a6">
    <w:name w:val="Подзаголовок Знак"/>
    <w:rsid w:val="007A3723"/>
    <w:rPr>
      <w:rFonts w:ascii="Cambria" w:eastAsia="Calibri" w:hAnsi="Cambria" w:cs="Times New Roman"/>
      <w:color w:val="000000"/>
      <w:sz w:val="24"/>
      <w:szCs w:val="24"/>
      <w:lang w:val="uk-UA"/>
    </w:rPr>
  </w:style>
  <w:style w:type="character" w:customStyle="1" w:styleId="a7">
    <w:name w:val="Название Знак"/>
    <w:rsid w:val="007A3723"/>
    <w:rPr>
      <w:rFonts w:ascii="Dauphin" w:eastAsia="Times New Roman" w:hAnsi="Dauphin" w:cs="Times New Roman"/>
      <w:b/>
      <w:sz w:val="28"/>
      <w:szCs w:val="20"/>
    </w:rPr>
  </w:style>
  <w:style w:type="character" w:customStyle="1" w:styleId="3">
    <w:name w:val="Основной текст (3)_"/>
    <w:rsid w:val="007A3723"/>
    <w:rPr>
      <w:b/>
      <w:bCs/>
      <w:sz w:val="28"/>
      <w:szCs w:val="28"/>
    </w:rPr>
  </w:style>
  <w:style w:type="character" w:customStyle="1" w:styleId="5">
    <w:name w:val="Основной текст (5)_"/>
    <w:rsid w:val="007A3723"/>
    <w:rPr>
      <w:sz w:val="28"/>
      <w:szCs w:val="28"/>
    </w:rPr>
  </w:style>
  <w:style w:type="character" w:customStyle="1" w:styleId="23">
    <w:name w:val="Основной текст (2)_"/>
    <w:rsid w:val="007A3723"/>
    <w:rPr>
      <w:i/>
      <w:iCs/>
      <w:sz w:val="28"/>
      <w:szCs w:val="28"/>
    </w:rPr>
  </w:style>
  <w:style w:type="character" w:customStyle="1" w:styleId="24">
    <w:name w:val="Основной текст (2) + Не курсив"/>
    <w:rsid w:val="007A3723"/>
    <w:rPr>
      <w:i/>
      <w:iCs/>
      <w:color w:val="000000"/>
      <w:spacing w:val="0"/>
      <w:w w:val="100"/>
      <w:position w:val="0"/>
      <w:sz w:val="28"/>
      <w:szCs w:val="28"/>
      <w:vertAlign w:val="baseline"/>
      <w:lang w:val="uk-UA" w:bidi="uk-UA"/>
    </w:rPr>
  </w:style>
  <w:style w:type="character" w:styleId="a8">
    <w:name w:val="Hyperlink"/>
    <w:rsid w:val="007A3723"/>
    <w:rPr>
      <w:color w:val="0000FF"/>
      <w:u w:val="single"/>
    </w:rPr>
  </w:style>
  <w:style w:type="character" w:customStyle="1" w:styleId="4">
    <w:name w:val="Основной текст (4)_"/>
    <w:rsid w:val="007A3723"/>
    <w:rPr>
      <w:b/>
      <w:bCs/>
      <w:i/>
      <w:iCs/>
      <w:sz w:val="26"/>
      <w:szCs w:val="26"/>
    </w:rPr>
  </w:style>
  <w:style w:type="character" w:customStyle="1" w:styleId="30">
    <w:name w:val="Основной текст (3) + Не полужирный"/>
    <w:rsid w:val="007A3723"/>
    <w:rPr>
      <w:b/>
      <w:bCs/>
      <w:i/>
      <w:iCs/>
      <w:color w:val="000000"/>
      <w:spacing w:val="0"/>
      <w:w w:val="100"/>
      <w:position w:val="0"/>
      <w:sz w:val="26"/>
      <w:szCs w:val="26"/>
      <w:vertAlign w:val="baseline"/>
      <w:lang w:val="uk-UA" w:bidi="uk-UA"/>
    </w:rPr>
  </w:style>
  <w:style w:type="character" w:customStyle="1" w:styleId="a9">
    <w:name w:val="Текст выноски Знак"/>
    <w:rsid w:val="007A3723"/>
    <w:rPr>
      <w:rFonts w:ascii="Tahoma" w:eastAsia="Times New Roman" w:hAnsi="Tahoma" w:cs="Tahoma"/>
      <w:sz w:val="16"/>
      <w:szCs w:val="16"/>
      <w:lang w:val="uk-UA"/>
    </w:rPr>
  </w:style>
  <w:style w:type="character" w:customStyle="1" w:styleId="100">
    <w:name w:val="Основной текст + 10"/>
    <w:rsid w:val="007A3723"/>
    <w:rPr>
      <w:rFonts w:ascii="Times New Roman" w:hAnsi="Times New Roman" w:cs="Times New Roman"/>
      <w:color w:val="000000"/>
      <w:spacing w:val="3"/>
      <w:w w:val="100"/>
      <w:position w:val="0"/>
      <w:sz w:val="21"/>
      <w:szCs w:val="21"/>
      <w:vertAlign w:val="baseline"/>
      <w:lang w:val="uk-UA"/>
    </w:rPr>
  </w:style>
  <w:style w:type="character" w:styleId="aa">
    <w:name w:val="Strong"/>
    <w:qFormat/>
    <w:rsid w:val="007A3723"/>
    <w:rPr>
      <w:b/>
      <w:bCs/>
    </w:rPr>
  </w:style>
  <w:style w:type="character" w:customStyle="1" w:styleId="apple-converted-space">
    <w:name w:val="apple-converted-space"/>
    <w:basedOn w:val="10"/>
    <w:rsid w:val="007A3723"/>
  </w:style>
  <w:style w:type="character" w:customStyle="1" w:styleId="ListLabel1">
    <w:name w:val="ListLabel 1"/>
    <w:rsid w:val="007A3723"/>
    <w:rPr>
      <w:rFonts w:eastAsia="Times New Roman" w:cs="Times New Roman"/>
    </w:rPr>
  </w:style>
  <w:style w:type="character" w:customStyle="1" w:styleId="ListLabel2">
    <w:name w:val="ListLabel 2"/>
    <w:rsid w:val="007A3723"/>
    <w:rPr>
      <w:rFonts w:cs="Courier New"/>
    </w:rPr>
  </w:style>
  <w:style w:type="character" w:customStyle="1" w:styleId="ListLabel3">
    <w:name w:val="ListLabel 3"/>
    <w:rsid w:val="007A3723"/>
    <w:rPr>
      <w:rFonts w:eastAsia="Times New Roman" w:cs="Times New Roman"/>
      <w:b w:val="0"/>
      <w:sz w:val="28"/>
    </w:rPr>
  </w:style>
  <w:style w:type="character" w:customStyle="1" w:styleId="12">
    <w:name w:val="Основной шрифт абзаца1"/>
    <w:rsid w:val="007A3723"/>
  </w:style>
  <w:style w:type="character" w:customStyle="1" w:styleId="CharStyle4">
    <w:name w:val="CharStyle4"/>
    <w:rsid w:val="007A3723"/>
    <w:rPr>
      <w:rFonts w:ascii="Times New Roman" w:eastAsia="Times New Roman" w:hAnsi="Times New Roman" w:cs="Times New Roman"/>
      <w:b w:val="0"/>
      <w:bCs w:val="0"/>
      <w:i w:val="0"/>
      <w:iCs w:val="0"/>
      <w:strike w:val="0"/>
      <w:dstrike w:val="0"/>
      <w:color w:val="000000"/>
      <w:spacing w:val="5"/>
      <w:w w:val="100"/>
      <w:position w:val="0"/>
      <w:sz w:val="16"/>
      <w:szCs w:val="16"/>
      <w:u w:val="none"/>
      <w:vertAlign w:val="baseline"/>
      <w:lang w:val="uk-UA" w:bidi="uk-UA"/>
    </w:rPr>
  </w:style>
  <w:style w:type="character" w:customStyle="1" w:styleId="rvts8">
    <w:name w:val="rvts8"/>
    <w:basedOn w:val="12"/>
    <w:rsid w:val="007A3723"/>
  </w:style>
  <w:style w:type="character" w:customStyle="1" w:styleId="ab">
    <w:name w:val="Символ нумерации"/>
    <w:rsid w:val="007A3723"/>
  </w:style>
  <w:style w:type="paragraph" w:styleId="ac">
    <w:name w:val="Title"/>
    <w:basedOn w:val="a"/>
    <w:next w:val="a0"/>
    <w:qFormat/>
    <w:rsid w:val="007A3723"/>
    <w:pPr>
      <w:suppressAutoHyphens w:val="0"/>
      <w:jc w:val="center"/>
    </w:pPr>
    <w:rPr>
      <w:rFonts w:ascii="Dauphin" w:hAnsi="Dauphin" w:cs="Dauphin"/>
      <w:b/>
      <w:bCs/>
      <w:sz w:val="28"/>
      <w:szCs w:val="20"/>
    </w:rPr>
  </w:style>
  <w:style w:type="paragraph" w:styleId="a0">
    <w:name w:val="Body Text"/>
    <w:basedOn w:val="a"/>
    <w:rsid w:val="007A3723"/>
    <w:pPr>
      <w:spacing w:after="120"/>
    </w:pPr>
  </w:style>
  <w:style w:type="paragraph" w:styleId="ad">
    <w:name w:val="List"/>
    <w:basedOn w:val="a0"/>
    <w:rsid w:val="007A3723"/>
    <w:rPr>
      <w:rFonts w:cs="Mangal"/>
    </w:rPr>
  </w:style>
  <w:style w:type="paragraph" w:styleId="ae">
    <w:name w:val="caption"/>
    <w:basedOn w:val="a"/>
    <w:qFormat/>
    <w:rsid w:val="007A3723"/>
    <w:pPr>
      <w:suppressLineNumbers/>
      <w:spacing w:before="120" w:after="120"/>
    </w:pPr>
    <w:rPr>
      <w:rFonts w:cs="Mangal"/>
      <w:i/>
      <w:iCs/>
      <w:sz w:val="24"/>
      <w:szCs w:val="24"/>
    </w:rPr>
  </w:style>
  <w:style w:type="paragraph" w:customStyle="1" w:styleId="25">
    <w:name w:val="Указатель2"/>
    <w:basedOn w:val="a"/>
    <w:rsid w:val="007A3723"/>
    <w:pPr>
      <w:suppressLineNumbers/>
    </w:pPr>
    <w:rPr>
      <w:rFonts w:cs="Mangal"/>
    </w:rPr>
  </w:style>
  <w:style w:type="paragraph" w:customStyle="1" w:styleId="13">
    <w:name w:val="Название1"/>
    <w:basedOn w:val="a"/>
    <w:rsid w:val="007A3723"/>
    <w:pPr>
      <w:suppressLineNumbers/>
      <w:spacing w:before="120" w:after="120"/>
    </w:pPr>
    <w:rPr>
      <w:rFonts w:cs="Mangal"/>
      <w:i/>
      <w:iCs/>
      <w:sz w:val="24"/>
      <w:szCs w:val="24"/>
    </w:rPr>
  </w:style>
  <w:style w:type="paragraph" w:customStyle="1" w:styleId="14">
    <w:name w:val="Указатель1"/>
    <w:basedOn w:val="a"/>
    <w:rsid w:val="007A3723"/>
    <w:pPr>
      <w:suppressLineNumbers/>
    </w:pPr>
    <w:rPr>
      <w:rFonts w:cs="Mangal"/>
    </w:rPr>
  </w:style>
  <w:style w:type="paragraph" w:customStyle="1" w:styleId="210">
    <w:name w:val="Основний текст 21"/>
    <w:basedOn w:val="a"/>
    <w:rsid w:val="007A3723"/>
    <w:pPr>
      <w:spacing w:after="120"/>
      <w:ind w:left="283"/>
    </w:pPr>
  </w:style>
  <w:style w:type="paragraph" w:customStyle="1" w:styleId="15">
    <w:name w:val="Звичайний (веб)1"/>
    <w:basedOn w:val="a"/>
    <w:rsid w:val="007A3723"/>
    <w:pPr>
      <w:suppressAutoHyphens w:val="0"/>
      <w:spacing w:before="100" w:after="100"/>
      <w:jc w:val="left"/>
    </w:pPr>
    <w:rPr>
      <w:sz w:val="24"/>
      <w:szCs w:val="24"/>
      <w:lang w:val="ru-RU"/>
    </w:rPr>
  </w:style>
  <w:style w:type="paragraph" w:styleId="af">
    <w:name w:val="header"/>
    <w:basedOn w:val="a"/>
    <w:rsid w:val="007A3723"/>
    <w:pPr>
      <w:suppressLineNumbers/>
      <w:tabs>
        <w:tab w:val="center" w:pos="4677"/>
        <w:tab w:val="right" w:pos="9355"/>
      </w:tabs>
      <w:suppressAutoHyphens w:val="0"/>
      <w:jc w:val="left"/>
    </w:pPr>
    <w:rPr>
      <w:sz w:val="28"/>
      <w:szCs w:val="28"/>
    </w:rPr>
  </w:style>
  <w:style w:type="paragraph" w:styleId="af0">
    <w:name w:val="footer"/>
    <w:basedOn w:val="a"/>
    <w:rsid w:val="007A3723"/>
    <w:pPr>
      <w:suppressLineNumbers/>
      <w:tabs>
        <w:tab w:val="center" w:pos="4677"/>
        <w:tab w:val="right" w:pos="9355"/>
      </w:tabs>
      <w:suppressAutoHyphens w:val="0"/>
      <w:jc w:val="left"/>
    </w:pPr>
    <w:rPr>
      <w:sz w:val="28"/>
      <w:szCs w:val="28"/>
    </w:rPr>
  </w:style>
  <w:style w:type="paragraph" w:customStyle="1" w:styleId="16">
    <w:name w:val="Цитата1"/>
    <w:basedOn w:val="a"/>
    <w:rsid w:val="007A3723"/>
    <w:pPr>
      <w:widowControl w:val="0"/>
      <w:suppressAutoHyphens w:val="0"/>
      <w:ind w:left="-420" w:right="-140" w:firstLine="709"/>
    </w:pPr>
    <w:rPr>
      <w:sz w:val="28"/>
      <w:szCs w:val="28"/>
    </w:rPr>
  </w:style>
  <w:style w:type="paragraph" w:customStyle="1" w:styleId="17">
    <w:name w:val="Абзац списку1"/>
    <w:basedOn w:val="a"/>
    <w:rsid w:val="007A3723"/>
    <w:pPr>
      <w:suppressAutoHyphens w:val="0"/>
      <w:ind w:left="720"/>
      <w:jc w:val="left"/>
    </w:pPr>
    <w:rPr>
      <w:sz w:val="24"/>
      <w:szCs w:val="24"/>
    </w:rPr>
  </w:style>
  <w:style w:type="paragraph" w:styleId="af1">
    <w:name w:val="Subtitle"/>
    <w:basedOn w:val="a"/>
    <w:next w:val="a0"/>
    <w:qFormat/>
    <w:rsid w:val="007A3723"/>
    <w:pPr>
      <w:widowControl w:val="0"/>
      <w:suppressAutoHyphens w:val="0"/>
      <w:spacing w:after="60"/>
      <w:jc w:val="center"/>
    </w:pPr>
    <w:rPr>
      <w:rFonts w:ascii="Cambria" w:eastAsia="Calibri" w:hAnsi="Cambria" w:cs="Cambria"/>
      <w:i/>
      <w:iCs/>
      <w:color w:val="000000"/>
      <w:sz w:val="24"/>
      <w:szCs w:val="24"/>
    </w:rPr>
  </w:style>
  <w:style w:type="paragraph" w:customStyle="1" w:styleId="31">
    <w:name w:val="Основной текст (3)"/>
    <w:basedOn w:val="a"/>
    <w:rsid w:val="007A3723"/>
    <w:pPr>
      <w:widowControl w:val="0"/>
      <w:shd w:val="clear" w:color="auto" w:fill="FFFFFF"/>
      <w:suppressAutoHyphens w:val="0"/>
      <w:spacing w:after="120" w:line="0" w:lineRule="atLeast"/>
      <w:jc w:val="center"/>
    </w:pPr>
    <w:rPr>
      <w:rFonts w:ascii="Calibri" w:hAnsi="Calibri" w:cs="font171"/>
      <w:b/>
      <w:bCs/>
      <w:sz w:val="28"/>
      <w:szCs w:val="28"/>
      <w:lang w:val="ru-RU"/>
    </w:rPr>
  </w:style>
  <w:style w:type="paragraph" w:customStyle="1" w:styleId="50">
    <w:name w:val="Основной текст (5)"/>
    <w:basedOn w:val="a"/>
    <w:rsid w:val="007A3723"/>
    <w:pPr>
      <w:widowControl w:val="0"/>
      <w:shd w:val="clear" w:color="auto" w:fill="FFFFFF"/>
      <w:suppressAutoHyphens w:val="0"/>
      <w:spacing w:before="120" w:after="1020" w:line="0" w:lineRule="atLeast"/>
    </w:pPr>
    <w:rPr>
      <w:rFonts w:ascii="Calibri" w:hAnsi="Calibri" w:cs="font171"/>
      <w:sz w:val="28"/>
      <w:szCs w:val="28"/>
      <w:lang w:val="ru-RU"/>
    </w:rPr>
  </w:style>
  <w:style w:type="paragraph" w:customStyle="1" w:styleId="26">
    <w:name w:val="Основной текст (2)"/>
    <w:basedOn w:val="a"/>
    <w:rsid w:val="007A3723"/>
    <w:pPr>
      <w:widowControl w:val="0"/>
      <w:shd w:val="clear" w:color="auto" w:fill="FFFFFF"/>
      <w:suppressAutoHyphens w:val="0"/>
      <w:spacing w:before="1020" w:after="120" w:line="370" w:lineRule="exact"/>
      <w:ind w:firstLine="540"/>
    </w:pPr>
    <w:rPr>
      <w:rFonts w:ascii="Calibri" w:hAnsi="Calibri" w:cs="font171"/>
      <w:i/>
      <w:iCs/>
      <w:sz w:val="28"/>
      <w:szCs w:val="28"/>
      <w:lang w:val="ru-RU"/>
    </w:rPr>
  </w:style>
  <w:style w:type="paragraph" w:customStyle="1" w:styleId="40">
    <w:name w:val="Основной текст (4)"/>
    <w:basedOn w:val="a"/>
    <w:rsid w:val="007A3723"/>
    <w:pPr>
      <w:widowControl w:val="0"/>
      <w:shd w:val="clear" w:color="auto" w:fill="FFFFFF"/>
      <w:suppressAutoHyphens w:val="0"/>
      <w:spacing w:before="660" w:line="307" w:lineRule="exact"/>
      <w:jc w:val="left"/>
    </w:pPr>
    <w:rPr>
      <w:rFonts w:ascii="Calibri" w:hAnsi="Calibri" w:cs="font171"/>
      <w:b/>
      <w:bCs/>
      <w:i/>
      <w:iCs/>
      <w:lang w:val="ru-RU"/>
    </w:rPr>
  </w:style>
  <w:style w:type="paragraph" w:customStyle="1" w:styleId="18">
    <w:name w:val="Текст у виносці1"/>
    <w:basedOn w:val="a"/>
    <w:rsid w:val="007A3723"/>
    <w:rPr>
      <w:rFonts w:ascii="Tahoma" w:hAnsi="Tahoma" w:cs="Tahoma"/>
      <w:sz w:val="16"/>
      <w:szCs w:val="16"/>
    </w:rPr>
  </w:style>
  <w:style w:type="paragraph" w:customStyle="1" w:styleId="af2">
    <w:name w:val="Содержимое врезки"/>
    <w:basedOn w:val="a0"/>
    <w:rsid w:val="007A3723"/>
  </w:style>
  <w:style w:type="paragraph" w:customStyle="1" w:styleId="af3">
    <w:name w:val="Содержимое таблицы"/>
    <w:basedOn w:val="a"/>
    <w:rsid w:val="007A3723"/>
    <w:pPr>
      <w:suppressLineNumbers/>
    </w:pPr>
  </w:style>
  <w:style w:type="paragraph" w:customStyle="1" w:styleId="af4">
    <w:name w:val="Заголовок таблицы"/>
    <w:basedOn w:val="af3"/>
    <w:rsid w:val="007A3723"/>
    <w:pPr>
      <w:jc w:val="center"/>
    </w:pPr>
    <w:rPr>
      <w:b/>
      <w:bCs/>
    </w:rPr>
  </w:style>
  <w:style w:type="paragraph" w:styleId="af5">
    <w:name w:val="Normal (Web)"/>
    <w:basedOn w:val="a"/>
    <w:uiPriority w:val="99"/>
    <w:qFormat/>
    <w:rsid w:val="007A3723"/>
    <w:pPr>
      <w:suppressAutoHyphens w:val="0"/>
      <w:spacing w:before="100" w:after="100"/>
    </w:pPr>
    <w:rPr>
      <w:kern w:val="1"/>
      <w:lang w:val="ru-RU"/>
    </w:rPr>
  </w:style>
  <w:style w:type="character" w:customStyle="1" w:styleId="fontstyle01">
    <w:name w:val="fontstyle01"/>
    <w:qFormat/>
    <w:rsid w:val="00450159"/>
    <w:rPr>
      <w:rFonts w:ascii="Times New Roman" w:hAnsi="Times New Roman" w:cs="Times New Roman"/>
      <w:b/>
      <w:bCs/>
      <w:i w:val="0"/>
      <w:iCs w:val="0"/>
      <w:color w:val="000000"/>
      <w:sz w:val="28"/>
      <w:szCs w:val="28"/>
    </w:rPr>
  </w:style>
  <w:style w:type="paragraph" w:styleId="af6">
    <w:name w:val="Balloon Text"/>
    <w:basedOn w:val="a"/>
    <w:link w:val="19"/>
    <w:uiPriority w:val="99"/>
    <w:semiHidden/>
    <w:unhideWhenUsed/>
    <w:rsid w:val="00D142D8"/>
    <w:pPr>
      <w:spacing w:line="240" w:lineRule="auto"/>
    </w:pPr>
    <w:rPr>
      <w:rFonts w:ascii="Segoe UI" w:hAnsi="Segoe UI" w:cs="Segoe UI"/>
      <w:sz w:val="18"/>
      <w:szCs w:val="18"/>
    </w:rPr>
  </w:style>
  <w:style w:type="character" w:customStyle="1" w:styleId="19">
    <w:name w:val="Текст выноски Знак1"/>
    <w:link w:val="af6"/>
    <w:uiPriority w:val="99"/>
    <w:semiHidden/>
    <w:rsid w:val="00D142D8"/>
    <w:rPr>
      <w:rFonts w:ascii="Segoe UI" w:hAnsi="Segoe UI" w:cs="Segoe UI"/>
      <w:sz w:val="18"/>
      <w:szCs w:val="18"/>
      <w:lang w:eastAsia="zh-CN"/>
    </w:rPr>
  </w:style>
  <w:style w:type="paragraph" w:customStyle="1" w:styleId="af7">
    <w:name w:val="Знак Знак Знак Знак Знак Знак"/>
    <w:basedOn w:val="a"/>
    <w:rsid w:val="00DB6457"/>
    <w:pPr>
      <w:suppressAutoHyphens w:val="0"/>
      <w:spacing w:line="240" w:lineRule="auto"/>
      <w:jc w:val="left"/>
    </w:pPr>
    <w:rPr>
      <w:rFonts w:ascii="Verdana" w:hAnsi="Verdana" w:cs="Verdana"/>
      <w:sz w:val="20"/>
      <w:szCs w:val="20"/>
      <w:lang w:val="en-US" w:eastAsia="en-US"/>
    </w:rPr>
  </w:style>
  <w:style w:type="paragraph" w:styleId="af8">
    <w:name w:val="Body Text Indent"/>
    <w:basedOn w:val="a"/>
    <w:link w:val="af9"/>
    <w:uiPriority w:val="99"/>
    <w:unhideWhenUsed/>
    <w:rsid w:val="00C3624C"/>
    <w:pPr>
      <w:spacing w:after="120"/>
      <w:ind w:left="283"/>
    </w:pPr>
  </w:style>
  <w:style w:type="character" w:customStyle="1" w:styleId="af9">
    <w:name w:val="Основной текст с отступом Знак"/>
    <w:link w:val="af8"/>
    <w:uiPriority w:val="99"/>
    <w:rsid w:val="00C3624C"/>
    <w:rPr>
      <w:sz w:val="26"/>
      <w:szCs w:val="26"/>
      <w:lang w:eastAsia="zh-CN"/>
    </w:rPr>
  </w:style>
  <w:style w:type="paragraph" w:customStyle="1" w:styleId="afa">
    <w:name w:val="Знак Знак Знак Знак Знак Знак Знак Знак"/>
    <w:basedOn w:val="a"/>
    <w:rsid w:val="00C3624C"/>
    <w:pPr>
      <w:suppressAutoHyphens w:val="0"/>
      <w:spacing w:line="240" w:lineRule="auto"/>
      <w:jc w:val="left"/>
    </w:pPr>
    <w:rPr>
      <w:rFonts w:ascii="Verdana" w:hAnsi="Verdana" w:cs="Verdana"/>
      <w:sz w:val="20"/>
      <w:szCs w:val="20"/>
      <w:lang w:val="en-US" w:eastAsia="en-US"/>
    </w:rPr>
  </w:style>
  <w:style w:type="character" w:customStyle="1" w:styleId="afb">
    <w:name w:val="Основной текст_"/>
    <w:link w:val="1a"/>
    <w:rsid w:val="005A5DC2"/>
    <w:rPr>
      <w:color w:val="333333"/>
      <w:sz w:val="28"/>
      <w:szCs w:val="28"/>
    </w:rPr>
  </w:style>
  <w:style w:type="character" w:customStyle="1" w:styleId="afc">
    <w:name w:val="Другое_"/>
    <w:link w:val="afd"/>
    <w:rsid w:val="005A5DC2"/>
    <w:rPr>
      <w:color w:val="333333"/>
      <w:sz w:val="28"/>
      <w:szCs w:val="28"/>
    </w:rPr>
  </w:style>
  <w:style w:type="character" w:customStyle="1" w:styleId="1b">
    <w:name w:val="Заголовок №1_"/>
    <w:link w:val="1c"/>
    <w:rsid w:val="005A5DC2"/>
    <w:rPr>
      <w:b/>
      <w:bCs/>
      <w:color w:val="333333"/>
      <w:sz w:val="28"/>
      <w:szCs w:val="28"/>
    </w:rPr>
  </w:style>
  <w:style w:type="paragraph" w:customStyle="1" w:styleId="1a">
    <w:name w:val="Основной текст1"/>
    <w:basedOn w:val="a"/>
    <w:link w:val="afb"/>
    <w:rsid w:val="005A5DC2"/>
    <w:pPr>
      <w:widowControl w:val="0"/>
      <w:suppressAutoHyphens w:val="0"/>
      <w:spacing w:line="240" w:lineRule="auto"/>
      <w:jc w:val="left"/>
    </w:pPr>
    <w:rPr>
      <w:color w:val="333333"/>
      <w:sz w:val="28"/>
      <w:szCs w:val="28"/>
      <w:lang w:eastAsia="uk-UA"/>
    </w:rPr>
  </w:style>
  <w:style w:type="paragraph" w:customStyle="1" w:styleId="afd">
    <w:name w:val="Другое"/>
    <w:basedOn w:val="a"/>
    <w:link w:val="afc"/>
    <w:rsid w:val="005A5DC2"/>
    <w:pPr>
      <w:widowControl w:val="0"/>
      <w:suppressAutoHyphens w:val="0"/>
      <w:spacing w:line="240" w:lineRule="auto"/>
      <w:jc w:val="left"/>
    </w:pPr>
    <w:rPr>
      <w:color w:val="333333"/>
      <w:sz w:val="28"/>
      <w:szCs w:val="28"/>
      <w:lang w:eastAsia="uk-UA"/>
    </w:rPr>
  </w:style>
  <w:style w:type="paragraph" w:customStyle="1" w:styleId="1c">
    <w:name w:val="Заголовок №1"/>
    <w:basedOn w:val="a"/>
    <w:link w:val="1b"/>
    <w:rsid w:val="005A5DC2"/>
    <w:pPr>
      <w:widowControl w:val="0"/>
      <w:suppressAutoHyphens w:val="0"/>
      <w:spacing w:after="240" w:line="240" w:lineRule="auto"/>
      <w:jc w:val="left"/>
      <w:outlineLvl w:val="0"/>
    </w:pPr>
    <w:rPr>
      <w:b/>
      <w:bCs/>
      <w:color w:val="333333"/>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8292</Words>
  <Characters>4727</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Serg</cp:lastModifiedBy>
  <cp:revision>5</cp:revision>
  <cp:lastPrinted>2025-09-30T04:14:00Z</cp:lastPrinted>
  <dcterms:created xsi:type="dcterms:W3CDTF">2025-09-30T04:14:00Z</dcterms:created>
  <dcterms:modified xsi:type="dcterms:W3CDTF">2025-10-17T15:58:00Z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