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5D508">
      <w:pPr>
        <w:rPr>
          <w:sz w:val="28"/>
          <w:szCs w:val="28"/>
          <w:lang w:val="uk-UA"/>
        </w:rPr>
      </w:pPr>
    </w:p>
    <w:p w14:paraId="77671877">
      <w:pPr>
        <w:ind w:firstLine="7088"/>
        <w:rPr>
          <w:lang w:val="uk-UA"/>
        </w:rPr>
      </w:pPr>
      <w:r>
        <w:rPr>
          <w:lang w:val="uk-UA"/>
        </w:rPr>
        <w:t xml:space="preserve">Додаток </w:t>
      </w:r>
    </w:p>
    <w:p w14:paraId="2FC5B180">
      <w:pPr>
        <w:ind w:firstLine="7088"/>
        <w:rPr>
          <w:lang w:val="uk-UA"/>
        </w:rPr>
      </w:pPr>
      <w:r>
        <w:rPr>
          <w:lang w:val="uk-UA"/>
        </w:rPr>
        <w:t>до рішення сільської ради</w:t>
      </w:r>
    </w:p>
    <w:p w14:paraId="1EA63AC2">
      <w:pPr>
        <w:ind w:firstLine="7088"/>
        <w:rPr>
          <w:b/>
          <w:lang w:val="uk-UA"/>
        </w:rPr>
      </w:pPr>
      <w:r>
        <w:rPr>
          <w:lang w:val="uk-UA"/>
        </w:rPr>
        <w:t>від 13.03.2025 № 39-1</w:t>
      </w:r>
      <w:r>
        <w:rPr>
          <w:rFonts w:hint="default"/>
          <w:lang w:val="uk-UA"/>
        </w:rPr>
        <w:t>0</w:t>
      </w:r>
      <w:bookmarkStart w:id="1" w:name="_GoBack"/>
      <w:bookmarkEnd w:id="1"/>
      <w:r>
        <w:rPr>
          <w:lang w:val="uk-UA"/>
        </w:rPr>
        <w:t>/</w:t>
      </w:r>
      <w:r>
        <w:t>VIII</w:t>
      </w:r>
    </w:p>
    <w:p w14:paraId="406629B9">
      <w:pPr>
        <w:pStyle w:val="27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14:paraId="0E7862CE">
      <w:pPr>
        <w:tabs>
          <w:tab w:val="left" w:pos="567"/>
        </w:tabs>
        <w:jc w:val="center"/>
        <w:rPr>
          <w:color w:val="000000"/>
          <w:spacing w:val="-1"/>
          <w:sz w:val="28"/>
          <w:szCs w:val="28"/>
          <w:lang w:val="uk-UA"/>
        </w:rPr>
      </w:pPr>
    </w:p>
    <w:p w14:paraId="5BFE9203">
      <w:pPr>
        <w:tabs>
          <w:tab w:val="left" w:pos="567"/>
        </w:tabs>
        <w:jc w:val="center"/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>Програма</w:t>
      </w:r>
    </w:p>
    <w:p w14:paraId="64FC5014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pacing w:val="-1"/>
          <w:sz w:val="28"/>
          <w:szCs w:val="28"/>
          <w:lang w:val="uk-UA"/>
        </w:rPr>
        <w:t xml:space="preserve"> п</w:t>
      </w:r>
      <w:r>
        <w:rPr>
          <w:b/>
          <w:sz w:val="28"/>
          <w:szCs w:val="28"/>
          <w:lang w:val="uk-UA"/>
        </w:rPr>
        <w:t xml:space="preserve">ідтримки військових частин Збройних Сил України, </w:t>
      </w:r>
    </w:p>
    <w:p w14:paraId="7DCD7D98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підрозділів Національної гвардії України, Національної поліції України </w:t>
      </w:r>
    </w:p>
    <w:p w14:paraId="28015E1F">
      <w:pPr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та інших військових формувань на 2025 рік</w:t>
      </w:r>
    </w:p>
    <w:p w14:paraId="7E05DAF0">
      <w:pPr>
        <w:tabs>
          <w:tab w:val="left" w:pos="567"/>
        </w:tabs>
        <w:jc w:val="center"/>
        <w:rPr>
          <w:bCs/>
          <w:sz w:val="28"/>
          <w:szCs w:val="28"/>
          <w:lang w:val="uk-UA" w:eastAsia="zh-CN"/>
        </w:rPr>
      </w:pPr>
    </w:p>
    <w:p w14:paraId="2E974CB2">
      <w:pPr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</w:rPr>
        <w:t>1. ПАСПОРТ ПРОГРАМИ</w:t>
      </w:r>
    </w:p>
    <w:p w14:paraId="32C5958A">
      <w:pPr>
        <w:jc w:val="center"/>
        <w:rPr>
          <w:rFonts w:eastAsia="Calibri"/>
          <w:b/>
          <w:sz w:val="28"/>
          <w:szCs w:val="28"/>
          <w:lang w:val="uk-UA"/>
        </w:rPr>
      </w:pPr>
    </w:p>
    <w:tbl>
      <w:tblPr>
        <w:tblStyle w:val="3"/>
        <w:tblW w:w="993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9"/>
        <w:gridCol w:w="4220"/>
        <w:gridCol w:w="5004"/>
      </w:tblGrid>
      <w:tr w14:paraId="26EC50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B2C691">
            <w:pPr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7362915">
            <w:pPr>
              <w:snapToGrid w:val="0"/>
              <w:ind w:left="10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1D4994">
            <w:pPr>
              <w:snapToGrid w:val="0"/>
              <w:ind w:left="141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  <w:lang w:val="uk-UA"/>
              </w:rPr>
              <w:t>ль</w:t>
            </w:r>
            <w:r>
              <w:rPr>
                <w:sz w:val="28"/>
                <w:szCs w:val="28"/>
              </w:rPr>
              <w:t xml:space="preserve">ський голова </w:t>
            </w:r>
            <w:r>
              <w:rPr>
                <w:sz w:val="28"/>
                <w:szCs w:val="28"/>
                <w:lang w:val="uk-UA"/>
              </w:rPr>
              <w:t>Мельник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</w:tc>
      </w:tr>
      <w:tr w14:paraId="7F3161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63AF0E">
            <w:pPr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867857">
            <w:pPr>
              <w:snapToGrid w:val="0"/>
              <w:ind w:left="10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B4553E">
            <w:pPr>
              <w:ind w:left="141" w:right="192"/>
              <w:jc w:val="both"/>
              <w:rPr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Відповідно до пункту 22 статті 26, Закону України „Про місцеве самоврядування в Україні”, та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ст. ст. 89, 91 Бюджетного кодексу України</w:t>
            </w:r>
          </w:p>
        </w:tc>
      </w:tr>
      <w:tr w14:paraId="05D794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5BDC25">
            <w:pPr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A27BCB">
            <w:pPr>
              <w:snapToGrid w:val="0"/>
              <w:ind w:left="10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3D9D43">
            <w:pPr>
              <w:snapToGrid w:val="0"/>
              <w:ind w:left="141" w:right="192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Фінансов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ий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відділ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Б</w:t>
            </w:r>
            <w:r>
              <w:rPr>
                <w:color w:val="000000"/>
                <w:sz w:val="28"/>
                <w:szCs w:val="28"/>
                <w:lang w:eastAsia="uk-UA"/>
              </w:rPr>
              <w:t>аш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теч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ківської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с</w:t>
            </w:r>
            <w:r>
              <w:rPr>
                <w:color w:val="000000"/>
                <w:sz w:val="28"/>
                <w:szCs w:val="28"/>
                <w:lang w:eastAsia="uk-UA"/>
              </w:rPr>
              <w:t>і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ль</w:t>
            </w:r>
            <w:r>
              <w:rPr>
                <w:color w:val="000000"/>
                <w:sz w:val="28"/>
                <w:szCs w:val="28"/>
                <w:lang w:eastAsia="uk-UA"/>
              </w:rPr>
              <w:t>ської ради</w:t>
            </w:r>
          </w:p>
        </w:tc>
      </w:tr>
      <w:tr w14:paraId="5D5EBA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16F0A7">
            <w:pPr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89120B">
            <w:pPr>
              <w:snapToGrid w:val="0"/>
              <w:ind w:left="10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Співрозробники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02D479">
            <w:pPr>
              <w:snapToGrid w:val="0"/>
              <w:ind w:left="141" w:right="192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Виконавчий комітет </w:t>
            </w:r>
            <w:r>
              <w:rPr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</w:rPr>
              <w:t>аш</w:t>
            </w:r>
            <w:r>
              <w:rPr>
                <w:sz w:val="28"/>
                <w:szCs w:val="28"/>
                <w:lang w:val="uk-UA"/>
              </w:rPr>
              <w:t>теч</w:t>
            </w:r>
            <w:r>
              <w:rPr>
                <w:sz w:val="28"/>
                <w:szCs w:val="28"/>
              </w:rPr>
              <w:t xml:space="preserve">ківської </w:t>
            </w:r>
            <w:r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  <w:lang w:val="uk-UA"/>
              </w:rPr>
              <w:t>ль</w:t>
            </w:r>
            <w:r>
              <w:rPr>
                <w:sz w:val="28"/>
                <w:szCs w:val="28"/>
              </w:rPr>
              <w:t>ської ради</w:t>
            </w:r>
          </w:p>
        </w:tc>
      </w:tr>
      <w:tr w14:paraId="2142A3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98435D">
            <w:pPr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0392FB">
            <w:pPr>
              <w:snapToGrid w:val="0"/>
              <w:ind w:left="10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8FB993">
            <w:pPr>
              <w:snapToGrid w:val="0"/>
              <w:ind w:left="141" w:right="192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Фінансов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ий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відділ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Б</w:t>
            </w:r>
            <w:r>
              <w:rPr>
                <w:color w:val="000000"/>
                <w:sz w:val="28"/>
                <w:szCs w:val="28"/>
                <w:lang w:eastAsia="uk-UA"/>
              </w:rPr>
              <w:t>аш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теч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ківської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с</w:t>
            </w:r>
            <w:r>
              <w:rPr>
                <w:color w:val="000000"/>
                <w:sz w:val="28"/>
                <w:szCs w:val="28"/>
                <w:lang w:eastAsia="uk-UA"/>
              </w:rPr>
              <w:t>і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ль</w:t>
            </w:r>
            <w:r>
              <w:rPr>
                <w:color w:val="000000"/>
                <w:sz w:val="28"/>
                <w:szCs w:val="28"/>
                <w:lang w:eastAsia="uk-UA"/>
              </w:rPr>
              <w:t>ської ради</w:t>
            </w:r>
            <w:r>
              <w:rPr>
                <w:sz w:val="28"/>
                <w:szCs w:val="28"/>
              </w:rPr>
              <w:t xml:space="preserve">, Виконавчий комітет </w:t>
            </w:r>
            <w:r>
              <w:rPr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</w:rPr>
              <w:t>аш</w:t>
            </w:r>
            <w:r>
              <w:rPr>
                <w:sz w:val="28"/>
                <w:szCs w:val="28"/>
                <w:lang w:val="uk-UA"/>
              </w:rPr>
              <w:t>теч</w:t>
            </w:r>
            <w:r>
              <w:rPr>
                <w:sz w:val="28"/>
                <w:szCs w:val="28"/>
              </w:rPr>
              <w:t xml:space="preserve">ківської </w:t>
            </w:r>
            <w:r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  <w:lang w:val="uk-UA"/>
              </w:rPr>
              <w:t>ль</w:t>
            </w:r>
            <w:r>
              <w:rPr>
                <w:sz w:val="28"/>
                <w:szCs w:val="28"/>
              </w:rPr>
              <w:t>ської ради, військові частини Збройних Сил України, підрозділи Національної гвардії України, Національної поліції України та інші військові формування</w:t>
            </w:r>
          </w:p>
        </w:tc>
      </w:tr>
      <w:tr w14:paraId="6DDF1F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08A03E5">
            <w:pPr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88B322">
            <w:pPr>
              <w:snapToGrid w:val="0"/>
              <w:ind w:left="10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7620E5">
            <w:pPr>
              <w:snapToGrid w:val="0"/>
              <w:ind w:left="141" w:right="192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Фінансов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ий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відділ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Б</w:t>
            </w:r>
            <w:r>
              <w:rPr>
                <w:color w:val="000000"/>
                <w:sz w:val="28"/>
                <w:szCs w:val="28"/>
                <w:lang w:eastAsia="uk-UA"/>
              </w:rPr>
              <w:t>аш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теч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ківської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с</w:t>
            </w:r>
            <w:r>
              <w:rPr>
                <w:color w:val="000000"/>
                <w:sz w:val="28"/>
                <w:szCs w:val="28"/>
                <w:lang w:eastAsia="uk-UA"/>
              </w:rPr>
              <w:t>і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ль</w:t>
            </w:r>
            <w:r>
              <w:rPr>
                <w:color w:val="000000"/>
                <w:sz w:val="28"/>
                <w:szCs w:val="28"/>
                <w:lang w:eastAsia="uk-UA"/>
              </w:rPr>
              <w:t>ської ради</w:t>
            </w:r>
            <w:r>
              <w:rPr>
                <w:sz w:val="28"/>
                <w:szCs w:val="28"/>
              </w:rPr>
              <w:t xml:space="preserve">, Виконавчий комітет </w:t>
            </w:r>
            <w:r>
              <w:rPr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</w:rPr>
              <w:t>аш</w:t>
            </w:r>
            <w:r>
              <w:rPr>
                <w:sz w:val="28"/>
                <w:szCs w:val="28"/>
                <w:lang w:val="uk-UA"/>
              </w:rPr>
              <w:t>теч</w:t>
            </w:r>
            <w:r>
              <w:rPr>
                <w:sz w:val="28"/>
                <w:szCs w:val="28"/>
              </w:rPr>
              <w:t xml:space="preserve">ківської </w:t>
            </w:r>
            <w:r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  <w:lang w:val="uk-UA"/>
              </w:rPr>
              <w:t>ль</w:t>
            </w:r>
            <w:r>
              <w:rPr>
                <w:sz w:val="28"/>
                <w:szCs w:val="28"/>
              </w:rPr>
              <w:t>ської ради</w:t>
            </w:r>
          </w:p>
        </w:tc>
      </w:tr>
      <w:tr w14:paraId="230AB3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4479F1">
            <w:pPr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D97DC8">
            <w:pPr>
              <w:snapToGrid w:val="0"/>
              <w:ind w:left="10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270AFD">
            <w:pPr>
              <w:snapToGrid w:val="0"/>
              <w:ind w:left="141" w:right="192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Військові частини Збройних Сил України, підрозділи Національної гвардії України, Національної поліції України та інші військові формування</w:t>
            </w:r>
          </w:p>
        </w:tc>
      </w:tr>
      <w:tr w14:paraId="3F944D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151B796">
            <w:pPr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AE2AE5">
            <w:pPr>
              <w:snapToGrid w:val="0"/>
              <w:ind w:left="10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73919F">
            <w:pPr>
              <w:snapToGrid w:val="0"/>
              <w:ind w:left="141" w:right="192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</w:t>
            </w:r>
          </w:p>
        </w:tc>
      </w:tr>
      <w:tr w14:paraId="31D8E1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2F3B57">
            <w:pPr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B084E4B">
            <w:pPr>
              <w:snapToGrid w:val="0"/>
              <w:ind w:left="10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28E59E">
            <w:pPr>
              <w:snapToGrid w:val="0"/>
              <w:ind w:left="141" w:right="192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</w:t>
            </w:r>
          </w:p>
        </w:tc>
      </w:tr>
      <w:tr w14:paraId="691D39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0764DAA">
            <w:pPr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BEE67C">
            <w:pPr>
              <w:autoSpaceDE w:val="0"/>
              <w:ind w:left="102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400467">
            <w:pPr>
              <w:snapToGrid w:val="0"/>
              <w:ind w:left="141" w:right="192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</w:rPr>
              <w:t>аш</w:t>
            </w:r>
            <w:r>
              <w:rPr>
                <w:sz w:val="28"/>
                <w:szCs w:val="28"/>
                <w:lang w:val="uk-UA"/>
              </w:rPr>
              <w:t>теч</w:t>
            </w:r>
            <w:r>
              <w:rPr>
                <w:sz w:val="28"/>
                <w:szCs w:val="28"/>
              </w:rPr>
              <w:t xml:space="preserve">ківської </w:t>
            </w:r>
            <w:r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  <w:lang w:val="uk-UA"/>
              </w:rPr>
              <w:t>ль</w:t>
            </w:r>
            <w:r>
              <w:rPr>
                <w:sz w:val="28"/>
                <w:szCs w:val="28"/>
              </w:rPr>
              <w:t>ської територіальної громади</w:t>
            </w:r>
          </w:p>
        </w:tc>
      </w:tr>
      <w:tr w14:paraId="42848B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75EA1F">
            <w:pPr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801DC68">
            <w:pPr>
              <w:snapToGrid w:val="0"/>
              <w:ind w:left="10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Загальний обсяг фінансових ресурсів, необхідних для реалізації програми, всього, у </w:t>
            </w:r>
            <w:r>
              <w:rPr>
                <w:spacing w:val="-6"/>
                <w:sz w:val="28"/>
                <w:szCs w:val="28"/>
              </w:rPr>
              <w:t>тому числі: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01B6">
            <w:pPr>
              <w:snapToGrid w:val="0"/>
              <w:ind w:left="141" w:right="192"/>
              <w:jc w:val="center"/>
              <w:textAlignment w:val="baseline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> 000 000,00 грн.</w:t>
            </w:r>
          </w:p>
        </w:tc>
      </w:tr>
      <w:tr w14:paraId="19E58C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BEFBDE">
            <w:pPr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648D8F2">
            <w:pPr>
              <w:snapToGrid w:val="0"/>
              <w:ind w:left="10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коштів міського бюджету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0996">
            <w:pPr>
              <w:snapToGrid w:val="0"/>
              <w:ind w:left="141" w:right="192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5 </w:t>
            </w:r>
            <w:r>
              <w:rPr>
                <w:sz w:val="28"/>
                <w:szCs w:val="28"/>
              </w:rPr>
              <w:t>000 000,00 грн.</w:t>
            </w:r>
          </w:p>
        </w:tc>
      </w:tr>
      <w:tr w14:paraId="06AB69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C9311FB">
            <w:pPr>
              <w:snapToGri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</w:t>
            </w:r>
          </w:p>
        </w:tc>
        <w:tc>
          <w:tcPr>
            <w:tcW w:w="4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BB5157F">
            <w:pPr>
              <w:snapToGrid w:val="0"/>
              <w:ind w:left="10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коштів інших джерел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4882">
            <w:pPr>
              <w:snapToGrid w:val="0"/>
              <w:ind w:left="141" w:right="192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 грн.</w:t>
            </w:r>
          </w:p>
        </w:tc>
      </w:tr>
    </w:tbl>
    <w:p w14:paraId="24759E82">
      <w:pPr>
        <w:widowControl w:val="0"/>
        <w:ind w:firstLine="709"/>
        <w:contextualSpacing/>
        <w:jc w:val="center"/>
        <w:textAlignment w:val="baseline"/>
        <w:rPr>
          <w:b/>
          <w:sz w:val="28"/>
        </w:rPr>
      </w:pPr>
    </w:p>
    <w:p w14:paraId="67DCB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Визначення проблеми, на розв’язання якої спрямована Програма</w:t>
      </w:r>
    </w:p>
    <w:p w14:paraId="35F31EEE">
      <w:pPr>
        <w:widowControl w:val="0"/>
        <w:ind w:firstLine="709"/>
        <w:contextualSpacing/>
        <w:jc w:val="center"/>
        <w:textAlignment w:val="baseline"/>
        <w:rPr>
          <w:b/>
          <w:sz w:val="28"/>
          <w:szCs w:val="28"/>
          <w:u w:val="single"/>
        </w:rPr>
      </w:pPr>
    </w:p>
    <w:p w14:paraId="18CC7C9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Протидія військовому вторгненню російської федерації яка розв’язала повномасштабну війну проти народу України, спрямованій на поваленні конституційного ладу в Україні та захопленні її території, вимагають реалізації заходів із підготовки та проведення мобілізації людських і транспортних ресурсів, підтримки боєздатності військових частин Збройних Сил України, підрозділів Національної гвардії України, Національної поліції України та інших військових формувань.</w:t>
      </w:r>
    </w:p>
    <w:p w14:paraId="411391D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uk-UA"/>
        </w:rPr>
        <w:t xml:space="preserve"> </w:t>
      </w:r>
      <w:r>
        <w:rPr>
          <w:color w:val="000000"/>
          <w:spacing w:val="-1"/>
          <w:sz w:val="28"/>
          <w:szCs w:val="28"/>
        </w:rPr>
        <w:t>Програма п</w:t>
      </w:r>
      <w:r>
        <w:rPr>
          <w:sz w:val="28"/>
          <w:szCs w:val="28"/>
        </w:rPr>
        <w:t>ідтримки військових частин Збройних Сил України, підрозділів Національної гвардії України, Національної поліції України та інших військових формувань на 2025 рік</w:t>
      </w:r>
      <w:r>
        <w:rPr>
          <w:sz w:val="28"/>
          <w:szCs w:val="28"/>
          <w:lang w:eastAsia="uk-UA"/>
        </w:rPr>
        <w:t xml:space="preserve"> (далі - Програма) розроблена н</w:t>
      </w:r>
      <w:r>
        <w:rPr>
          <w:sz w:val="28"/>
          <w:szCs w:val="28"/>
        </w:rPr>
        <w:t>а забезпечення державного суверенітету, територіальної цілісності та недоторканості України, воєнної безпеки захисту та охорони життя, прав, свобод і законних інтересів громадян, суспільства і держави від злочинних та інших протиправних посягань відповідно положень Конституції України, Бюджетного кодексу України, Законів України «Про місцеве самоврядування в Україні», «Про оборону України», «Про Збройні Сили України», «Про військовий обов’язок і військову службу», «Про основи національного спротиву”, Указ Президента України №64/2022 «Про введення військового стану в Україні», Указу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 (зі змінами) є необхідність залучення коштів місцевого бюджету для покращення матеріально-технічного забезпечення військових частин Збройних Сил України, підрозділів Національної гвардії України, Національної поліції України та інших військових формувань для виконання військового обов’язку, здійснення заходів із забезпечення національної безпеки і оборони України.</w:t>
      </w:r>
    </w:p>
    <w:p w14:paraId="73508A1D">
      <w:pPr>
        <w:shd w:val="clear" w:color="auto" w:fill="FFFFFF"/>
        <w:contextualSpacing/>
        <w:jc w:val="center"/>
        <w:rPr>
          <w:b/>
          <w:bCs/>
          <w:spacing w:val="-2"/>
          <w:sz w:val="28"/>
          <w:szCs w:val="28"/>
        </w:rPr>
      </w:pPr>
    </w:p>
    <w:p w14:paraId="33A1DBD4">
      <w:pPr>
        <w:shd w:val="clear" w:color="auto" w:fill="FFFFFF"/>
        <w:contextualSpacing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3. Визначення мети Програми</w:t>
      </w:r>
    </w:p>
    <w:p w14:paraId="4C62BC72">
      <w:pPr>
        <w:shd w:val="clear" w:color="auto" w:fill="FFFFFF"/>
        <w:contextualSpacing/>
        <w:jc w:val="center"/>
        <w:rPr>
          <w:b/>
          <w:bCs/>
          <w:spacing w:val="-2"/>
        </w:rPr>
      </w:pPr>
    </w:p>
    <w:p w14:paraId="17892A61">
      <w:pPr>
        <w:keepNext/>
        <w:ind w:firstLine="720"/>
        <w:jc w:val="both"/>
        <w:outlineLvl w:val="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Метою Програми є залучення додаткових фінансових ресурсів з місцевого бюджету та інших джерел, не заборонених законодавством, для підвищення обороноздатності України:</w:t>
      </w:r>
    </w:p>
    <w:p w14:paraId="5C5254BD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забезпечення належних умов для якісного виконання завдань та підтримки високого рівня боєготовності </w:t>
      </w:r>
      <w:r>
        <w:rPr>
          <w:sz w:val="28"/>
          <w:szCs w:val="28"/>
        </w:rPr>
        <w:t>військових частин Збройних Сил України, підрозділів Національної гвардії України, Національної поліції України та інших військових формувань</w:t>
      </w:r>
      <w:r>
        <w:rPr>
          <w:sz w:val="28"/>
          <w:szCs w:val="28"/>
          <w:lang w:eastAsia="uk-UA"/>
        </w:rPr>
        <w:t>;</w:t>
      </w:r>
    </w:p>
    <w:p w14:paraId="16A6A1FE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підвищення обороноздатності та мобілізаційної  готовності держави;</w:t>
      </w:r>
    </w:p>
    <w:p w14:paraId="7CEE58DB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покращення матеріально-технічного забезпечення</w:t>
      </w:r>
      <w:r>
        <w:rPr>
          <w:sz w:val="28"/>
          <w:szCs w:val="28"/>
        </w:rPr>
        <w:t xml:space="preserve"> військових частин Збройних Сил України, підрозділів Національної гвардії України, Національної поліції України та інших військових формувань</w:t>
      </w:r>
      <w:r>
        <w:rPr>
          <w:sz w:val="28"/>
          <w:szCs w:val="28"/>
          <w:lang w:eastAsia="uk-UA"/>
        </w:rPr>
        <w:t xml:space="preserve"> ;</w:t>
      </w:r>
    </w:p>
    <w:p w14:paraId="2597589D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налагодження ефективного цивільно – військового співробітництва;</w:t>
      </w:r>
    </w:p>
    <w:p w14:paraId="32ECA146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створення умов для повноцінної підготовки до виконання поставлених завдань перед військовими частинами</w:t>
      </w:r>
      <w:r>
        <w:rPr>
          <w:sz w:val="28"/>
          <w:szCs w:val="28"/>
        </w:rPr>
        <w:t xml:space="preserve"> Збройних Сил України, підрозділів Національної гвардії України, Національної поліції України та інших військових формувань</w:t>
      </w:r>
      <w:r>
        <w:rPr>
          <w:sz w:val="28"/>
          <w:szCs w:val="28"/>
          <w:lang w:eastAsia="uk-UA"/>
        </w:rPr>
        <w:t>;</w:t>
      </w:r>
    </w:p>
    <w:p w14:paraId="1EA0617D">
      <w:pPr>
        <w:numPr>
          <w:ilvl w:val="0"/>
          <w:numId w:val="1"/>
        </w:numPr>
        <w:suppressAutoHyphens w:val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зміцнення співпраці між органами місцевого самоврядування та</w:t>
      </w:r>
      <w:r>
        <w:rPr>
          <w:sz w:val="28"/>
          <w:szCs w:val="28"/>
        </w:rPr>
        <w:t xml:space="preserve"> військовими частинами Збройних Сил України, підрозділів Національної гвардії України, Національної поліції України та інших військових формувань</w:t>
      </w:r>
      <w:r>
        <w:rPr>
          <w:sz w:val="28"/>
          <w:szCs w:val="28"/>
          <w:lang w:eastAsia="uk-UA"/>
        </w:rPr>
        <w:t xml:space="preserve"> .</w:t>
      </w:r>
    </w:p>
    <w:p w14:paraId="5487203A">
      <w:pPr>
        <w:keepNext/>
        <w:ind w:firstLine="720"/>
        <w:jc w:val="both"/>
        <w:outlineLvl w:val="0"/>
        <w:rPr>
          <w:sz w:val="28"/>
          <w:szCs w:val="28"/>
          <w:lang w:eastAsia="uk-UA"/>
        </w:rPr>
      </w:pPr>
    </w:p>
    <w:p w14:paraId="002E413F">
      <w:pPr>
        <w:tabs>
          <w:tab w:val="left" w:pos="567"/>
        </w:tabs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4. Завдання і заходи реалізації Програми та напрямки </w:t>
      </w:r>
    </w:p>
    <w:p w14:paraId="4ACD8292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zh-CN"/>
        </w:rPr>
        <w:t xml:space="preserve">використання коштів </w:t>
      </w:r>
      <w:r>
        <w:rPr>
          <w:b/>
          <w:sz w:val="28"/>
          <w:szCs w:val="28"/>
        </w:rPr>
        <w:t>у 2025 році</w:t>
      </w:r>
    </w:p>
    <w:p w14:paraId="6CE88FED">
      <w:pPr>
        <w:tabs>
          <w:tab w:val="left" w:pos="567"/>
        </w:tabs>
        <w:jc w:val="center"/>
        <w:rPr>
          <w:b/>
          <w:sz w:val="16"/>
          <w:szCs w:val="16"/>
          <w:lang w:eastAsia="zh-CN"/>
        </w:rPr>
      </w:pPr>
    </w:p>
    <w:p w14:paraId="15E32718">
      <w:pPr>
        <w:widowControl w:val="0"/>
        <w:tabs>
          <w:tab w:val="left" w:pos="567"/>
        </w:tabs>
        <w:autoSpaceDE w:val="0"/>
        <w:autoSpaceDN w:val="0"/>
        <w:adjustRightInd w:val="0"/>
        <w:ind w:left="40" w:firstLine="709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Прийняття Програми направлене на захист суверенітету і територіальної цілісності України, підвищення обороноздатності України, </w:t>
      </w:r>
      <w:r>
        <w:rPr>
          <w:sz w:val="28"/>
          <w:szCs w:val="28"/>
        </w:rPr>
        <w:t>проведення видатків, необхідних для військових частин Збройних Сил України, підрозділів Національної гвардії України, Національної поліції України та інших військових формувань</w:t>
      </w:r>
      <w:r>
        <w:rPr>
          <w:sz w:val="28"/>
          <w:szCs w:val="28"/>
          <w:lang w:eastAsia="uk-UA"/>
        </w:rPr>
        <w:t>.</w:t>
      </w:r>
      <w:r>
        <w:rPr>
          <w:sz w:val="28"/>
          <w:szCs w:val="28"/>
        </w:rPr>
        <w:t xml:space="preserve"> </w:t>
      </w:r>
    </w:p>
    <w:p w14:paraId="23E89342">
      <w:pPr>
        <w:ind w:firstLine="708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Програма спрямована на вирішення наступних завдань:</w:t>
      </w:r>
    </w:p>
    <w:p w14:paraId="67D8C428">
      <w:pPr>
        <w:ind w:firstLine="36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– покращення матеріально-технічного забезпечення </w:t>
      </w:r>
      <w:r>
        <w:rPr>
          <w:sz w:val="28"/>
          <w:szCs w:val="28"/>
        </w:rPr>
        <w:t xml:space="preserve">військових частин Збройних Сил України, підрозділів Національної гвардії України, Національної поліції України та інших військових формувань </w:t>
      </w:r>
      <w:r>
        <w:rPr>
          <w:sz w:val="28"/>
          <w:szCs w:val="28"/>
          <w:lang w:eastAsia="uk-UA"/>
        </w:rPr>
        <w:t>шляхом:</w:t>
      </w:r>
    </w:p>
    <w:p w14:paraId="6330468C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придбання речового майна (одяг, взуття, інше);</w:t>
      </w:r>
    </w:p>
    <w:p w14:paraId="1AC734DA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придбання запасних частин для автомобільної техніки, інструментів для ремонту техніки, паливно-мастильних матеріалів, будівельних матеріалів;</w:t>
      </w:r>
    </w:p>
    <w:p w14:paraId="2A4123C8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придбання основних засобів – автомобілів, спеціального обладнання, оргтехніки та інше;</w:t>
      </w:r>
    </w:p>
    <w:p w14:paraId="124A407F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оплату послуг та робіт з утримання </w:t>
      </w:r>
      <w:r>
        <w:rPr>
          <w:sz w:val="28"/>
          <w:szCs w:val="28"/>
        </w:rPr>
        <w:t>військових частин Збройних Сил України, підрозділів Національної гвардії України, Національної поліції України та інших військових формувань</w:t>
      </w:r>
      <w:r>
        <w:rPr>
          <w:sz w:val="28"/>
          <w:szCs w:val="28"/>
          <w:lang w:eastAsia="uk-UA"/>
        </w:rPr>
        <w:t>;</w:t>
      </w:r>
    </w:p>
    <w:p w14:paraId="46BA4D61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інші видатки.</w:t>
      </w:r>
    </w:p>
    <w:p w14:paraId="65B3A6AF">
      <w:pPr>
        <w:contextualSpacing/>
        <w:jc w:val="center"/>
        <w:rPr>
          <w:b/>
        </w:rPr>
      </w:pPr>
    </w:p>
    <w:p w14:paraId="53A3210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Обґрунтування шляхів і засобів розв’язання проблеми,</w:t>
      </w:r>
    </w:p>
    <w:p w14:paraId="4B8A7B0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обсягів та джерел фінансування</w:t>
      </w:r>
    </w:p>
    <w:p w14:paraId="5874E5F9">
      <w:pPr>
        <w:contextualSpacing/>
        <w:jc w:val="center"/>
        <w:rPr>
          <w:b/>
          <w:sz w:val="28"/>
          <w:szCs w:val="28"/>
        </w:rPr>
      </w:pPr>
    </w:p>
    <w:p w14:paraId="24C65D33">
      <w:pPr>
        <w:ind w:firstLine="708"/>
        <w:jc w:val="both"/>
        <w:rPr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Виконання Програми передбачається здійснити шляхом:</w:t>
      </w:r>
    </w:p>
    <w:p w14:paraId="23393ED5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– надання субвенції з місцевого бюджету </w:t>
      </w:r>
      <w:r>
        <w:rPr>
          <w:sz w:val="28"/>
          <w:szCs w:val="28"/>
          <w:lang w:val="uk-UA" w:eastAsia="uk-UA"/>
        </w:rPr>
        <w:t>Б</w:t>
      </w:r>
      <w:r>
        <w:rPr>
          <w:sz w:val="28"/>
          <w:szCs w:val="28"/>
          <w:lang w:eastAsia="uk-UA"/>
        </w:rPr>
        <w:t>аш</w:t>
      </w:r>
      <w:r>
        <w:rPr>
          <w:sz w:val="28"/>
          <w:szCs w:val="28"/>
          <w:lang w:val="uk-UA" w:eastAsia="uk-UA"/>
        </w:rPr>
        <w:t>теч</w:t>
      </w:r>
      <w:r>
        <w:rPr>
          <w:sz w:val="28"/>
          <w:szCs w:val="28"/>
          <w:lang w:eastAsia="uk-UA"/>
        </w:rPr>
        <w:t xml:space="preserve">ківської </w:t>
      </w:r>
      <w:r>
        <w:rPr>
          <w:sz w:val="28"/>
          <w:szCs w:val="28"/>
          <w:lang w:val="uk-UA" w:eastAsia="uk-UA"/>
        </w:rPr>
        <w:t>с</w:t>
      </w:r>
      <w:r>
        <w:rPr>
          <w:sz w:val="28"/>
          <w:szCs w:val="28"/>
          <w:lang w:eastAsia="uk-UA"/>
        </w:rPr>
        <w:t>і</w:t>
      </w:r>
      <w:r>
        <w:rPr>
          <w:sz w:val="28"/>
          <w:szCs w:val="28"/>
          <w:lang w:val="uk-UA" w:eastAsia="uk-UA"/>
        </w:rPr>
        <w:t>ль</w:t>
      </w:r>
      <w:r>
        <w:rPr>
          <w:sz w:val="28"/>
          <w:szCs w:val="28"/>
          <w:lang w:eastAsia="uk-UA"/>
        </w:rPr>
        <w:t xml:space="preserve">ської територіальної громади державному бюджету для проведення поточних, капітальних видатків на утримання </w:t>
      </w:r>
      <w:r>
        <w:rPr>
          <w:sz w:val="28"/>
          <w:szCs w:val="28"/>
        </w:rPr>
        <w:t>військових частин Збройних Сил України, підрозділів Національної гвардії України, Національної поліції України та інших військових формувань</w:t>
      </w:r>
      <w:r>
        <w:rPr>
          <w:sz w:val="28"/>
          <w:szCs w:val="28"/>
          <w:lang w:eastAsia="uk-UA"/>
        </w:rPr>
        <w:t>;</w:t>
      </w:r>
    </w:p>
    <w:p w14:paraId="10AE92E8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– закупівлі товарно-матеріальних цінностей, основних засобів, тощо Виконавчим комітетом Жашківської міської ради та їх безкоштовної передачі </w:t>
      </w:r>
      <w:r>
        <w:rPr>
          <w:sz w:val="28"/>
          <w:szCs w:val="28"/>
        </w:rPr>
        <w:t>військовим частинам Збройних Сил України, підрозділів Національної гвардії України, Національної поліції України та інших військових формувань</w:t>
      </w:r>
      <w:r>
        <w:rPr>
          <w:sz w:val="28"/>
          <w:szCs w:val="28"/>
          <w:lang w:eastAsia="uk-UA"/>
        </w:rPr>
        <w:t>.</w:t>
      </w:r>
    </w:p>
    <w:p w14:paraId="59764C0E">
      <w:pPr>
        <w:tabs>
          <w:tab w:val="left" w:pos="567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Джерелом фінансування заходів, передбачених цією Програмою, можуть бути надходження загального та спеціального фондів (в тому числі бюджету розвитку та міського цільового фонду ради) бюджету </w:t>
      </w:r>
      <w:r>
        <w:rPr>
          <w:sz w:val="28"/>
          <w:szCs w:val="28"/>
          <w:lang w:val="uk-UA" w:eastAsia="uk-UA"/>
        </w:rPr>
        <w:t>Б</w:t>
      </w:r>
      <w:r>
        <w:rPr>
          <w:sz w:val="28"/>
          <w:szCs w:val="28"/>
          <w:lang w:eastAsia="uk-UA"/>
        </w:rPr>
        <w:t>аш</w:t>
      </w:r>
      <w:r>
        <w:rPr>
          <w:sz w:val="28"/>
          <w:szCs w:val="28"/>
          <w:lang w:val="uk-UA" w:eastAsia="uk-UA"/>
        </w:rPr>
        <w:t>теч</w:t>
      </w:r>
      <w:r>
        <w:rPr>
          <w:sz w:val="28"/>
          <w:szCs w:val="28"/>
          <w:lang w:eastAsia="uk-UA"/>
        </w:rPr>
        <w:t xml:space="preserve">ківської </w:t>
      </w:r>
      <w:r>
        <w:rPr>
          <w:sz w:val="28"/>
          <w:szCs w:val="28"/>
          <w:lang w:val="uk-UA" w:eastAsia="uk-UA"/>
        </w:rPr>
        <w:t>с</w:t>
      </w:r>
      <w:r>
        <w:rPr>
          <w:sz w:val="28"/>
          <w:szCs w:val="28"/>
          <w:lang w:eastAsia="uk-UA"/>
        </w:rPr>
        <w:t>і</w:t>
      </w:r>
      <w:r>
        <w:rPr>
          <w:sz w:val="28"/>
          <w:szCs w:val="28"/>
          <w:lang w:val="uk-UA" w:eastAsia="uk-UA"/>
        </w:rPr>
        <w:t>ль</w:t>
      </w:r>
      <w:r>
        <w:rPr>
          <w:sz w:val="28"/>
          <w:szCs w:val="28"/>
          <w:lang w:eastAsia="uk-UA"/>
        </w:rPr>
        <w:t xml:space="preserve">ської </w:t>
      </w:r>
      <w:r>
        <w:rPr>
          <w:sz w:val="28"/>
          <w:szCs w:val="28"/>
          <w:lang w:eastAsia="zh-CN"/>
        </w:rPr>
        <w:t xml:space="preserve">територіальної громади, кошти Державного бюджету України у вигляді цільових та інших трансфертів (субвенцій, дотацій тощо). </w:t>
      </w:r>
    </w:p>
    <w:p w14:paraId="61990060">
      <w:pPr>
        <w:tabs>
          <w:tab w:val="left" w:pos="567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Також заходи Програми в межах чинного законодавства можуть фінансуватись за рахунок залучених (на умовах повернення) коштів, в тому числі кредитів, запозичень тощо. </w:t>
      </w:r>
    </w:p>
    <w:p w14:paraId="3AC84ED9">
      <w:pPr>
        <w:tabs>
          <w:tab w:val="left" w:pos="567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Крім того, фінансовим ресурсом реалізації заходів Програми можуть бути інвестиційні ресурси – добровільні внески підприємств, установ, організацій та фізичних осіб, в тому числі шляхом створення відповідних цільових фондів, а також інші джерела, що не заборонені нормами діючих нормативно-правових актів. </w:t>
      </w:r>
    </w:p>
    <w:p w14:paraId="0D08BD53">
      <w:pPr>
        <w:tabs>
          <w:tab w:val="left" w:pos="567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Фінансування Програми проводиться </w:t>
      </w:r>
      <w:r>
        <w:rPr>
          <w:sz w:val="28"/>
          <w:szCs w:val="28"/>
        </w:rPr>
        <w:t>з дотриманням вимог статті 85 Бюджетного кодексу України,</w:t>
      </w:r>
      <w:r>
        <w:rPr>
          <w:sz w:val="28"/>
          <w:szCs w:val="28"/>
          <w:lang w:eastAsia="zh-CN"/>
        </w:rPr>
        <w:t xml:space="preserve"> в межах асигнувань, затверджених рішенням про бюджет </w:t>
      </w:r>
      <w:r>
        <w:rPr>
          <w:sz w:val="28"/>
          <w:szCs w:val="28"/>
          <w:lang w:val="uk-UA" w:eastAsia="uk-UA"/>
        </w:rPr>
        <w:t>Б</w:t>
      </w:r>
      <w:r>
        <w:rPr>
          <w:sz w:val="28"/>
          <w:szCs w:val="28"/>
          <w:lang w:eastAsia="uk-UA"/>
        </w:rPr>
        <w:t>аш</w:t>
      </w:r>
      <w:r>
        <w:rPr>
          <w:sz w:val="28"/>
          <w:szCs w:val="28"/>
          <w:lang w:val="uk-UA" w:eastAsia="uk-UA"/>
        </w:rPr>
        <w:t>теч</w:t>
      </w:r>
      <w:r>
        <w:rPr>
          <w:sz w:val="28"/>
          <w:szCs w:val="28"/>
          <w:lang w:eastAsia="uk-UA"/>
        </w:rPr>
        <w:t xml:space="preserve">ківської </w:t>
      </w:r>
      <w:r>
        <w:rPr>
          <w:sz w:val="28"/>
          <w:szCs w:val="28"/>
          <w:lang w:val="uk-UA" w:eastAsia="uk-UA"/>
        </w:rPr>
        <w:t>с</w:t>
      </w:r>
      <w:r>
        <w:rPr>
          <w:sz w:val="28"/>
          <w:szCs w:val="28"/>
          <w:lang w:eastAsia="uk-UA"/>
        </w:rPr>
        <w:t>і</w:t>
      </w:r>
      <w:r>
        <w:rPr>
          <w:sz w:val="28"/>
          <w:szCs w:val="28"/>
          <w:lang w:val="uk-UA" w:eastAsia="uk-UA"/>
        </w:rPr>
        <w:t>ль</w:t>
      </w:r>
      <w:r>
        <w:rPr>
          <w:sz w:val="28"/>
          <w:szCs w:val="28"/>
          <w:lang w:eastAsia="uk-UA"/>
        </w:rPr>
        <w:t xml:space="preserve">ської </w:t>
      </w:r>
      <w:r>
        <w:rPr>
          <w:sz w:val="28"/>
          <w:szCs w:val="28"/>
          <w:lang w:eastAsia="zh-CN"/>
        </w:rPr>
        <w:t>територіальної громади на відповідний рік, по загальному та спеціальному фондах і може здійснюватися в межах діючого бюджетного законодавства по кодах програмної класифікації видатків міського бюджету.</w:t>
      </w:r>
    </w:p>
    <w:p w14:paraId="1323A63A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Головним розпорядником коштів Програми та відповідальним виконавцем є </w:t>
      </w:r>
      <w:r>
        <w:rPr>
          <w:sz w:val="28"/>
          <w:szCs w:val="28"/>
          <w:lang w:val="uk-UA" w:eastAsia="uk-UA"/>
        </w:rPr>
        <w:t>фінансовий відділ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>Б</w:t>
      </w:r>
      <w:r>
        <w:rPr>
          <w:sz w:val="28"/>
          <w:szCs w:val="28"/>
          <w:lang w:eastAsia="uk-UA"/>
        </w:rPr>
        <w:t>аш</w:t>
      </w:r>
      <w:r>
        <w:rPr>
          <w:sz w:val="28"/>
          <w:szCs w:val="28"/>
          <w:lang w:val="uk-UA" w:eastAsia="uk-UA"/>
        </w:rPr>
        <w:t>теч</w:t>
      </w:r>
      <w:r>
        <w:rPr>
          <w:sz w:val="28"/>
          <w:szCs w:val="28"/>
          <w:lang w:eastAsia="uk-UA"/>
        </w:rPr>
        <w:t xml:space="preserve">ківської </w:t>
      </w:r>
      <w:r>
        <w:rPr>
          <w:sz w:val="28"/>
          <w:szCs w:val="28"/>
          <w:lang w:val="uk-UA" w:eastAsia="uk-UA"/>
        </w:rPr>
        <w:t>с</w:t>
      </w:r>
      <w:r>
        <w:rPr>
          <w:sz w:val="28"/>
          <w:szCs w:val="28"/>
          <w:lang w:eastAsia="uk-UA"/>
        </w:rPr>
        <w:t>і</w:t>
      </w:r>
      <w:r>
        <w:rPr>
          <w:sz w:val="28"/>
          <w:szCs w:val="28"/>
          <w:lang w:val="uk-UA" w:eastAsia="uk-UA"/>
        </w:rPr>
        <w:t>ль</w:t>
      </w:r>
      <w:r>
        <w:rPr>
          <w:sz w:val="28"/>
          <w:szCs w:val="28"/>
          <w:lang w:eastAsia="uk-UA"/>
        </w:rPr>
        <w:t>ської ради</w:t>
      </w:r>
      <w:r>
        <w:rPr>
          <w:sz w:val="28"/>
          <w:szCs w:val="28"/>
          <w:lang w:eastAsia="zh-CN"/>
        </w:rPr>
        <w:t>.</w:t>
      </w:r>
    </w:p>
    <w:p w14:paraId="49C96B4F">
      <w:pPr>
        <w:tabs>
          <w:tab w:val="left" w:pos="0"/>
        </w:tabs>
        <w:ind w:firstLine="709"/>
        <w:contextualSpacing/>
        <w:jc w:val="center"/>
        <w:rPr>
          <w:b/>
          <w:u w:val="single"/>
        </w:rPr>
      </w:pPr>
    </w:p>
    <w:p w14:paraId="5FE6C1A4">
      <w:pPr>
        <w:tabs>
          <w:tab w:val="left" w:pos="0"/>
        </w:tabs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6. Строки та етапи виконання програми</w:t>
      </w:r>
    </w:p>
    <w:p w14:paraId="46604624">
      <w:pPr>
        <w:tabs>
          <w:tab w:val="left" w:pos="0"/>
        </w:tabs>
        <w:contextualSpacing/>
        <w:jc w:val="center"/>
        <w:rPr>
          <w:b/>
          <w:sz w:val="28"/>
          <w:szCs w:val="28"/>
          <w:lang w:val="uk-UA"/>
        </w:rPr>
      </w:pPr>
    </w:p>
    <w:p w14:paraId="1A444731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Програма розрахована на 2025 рік з моменту її затвердження.</w:t>
      </w:r>
    </w:p>
    <w:p w14:paraId="051C30F1">
      <w:pPr>
        <w:tabs>
          <w:tab w:val="left" w:pos="0"/>
        </w:tabs>
        <w:ind w:firstLine="709"/>
        <w:contextualSpacing/>
        <w:jc w:val="both"/>
      </w:pPr>
    </w:p>
    <w:p w14:paraId="3A94D756">
      <w:pPr>
        <w:keepNext/>
        <w:tabs>
          <w:tab w:val="left" w:pos="567"/>
        </w:tabs>
        <w:jc w:val="center"/>
        <w:outlineLvl w:val="0"/>
        <w:rPr>
          <w:b/>
          <w:sz w:val="28"/>
          <w:szCs w:val="28"/>
          <w:lang w:eastAsia="zh-CN"/>
        </w:rPr>
      </w:pPr>
      <w:bookmarkStart w:id="0" w:name="_Toc500775986"/>
      <w:r>
        <w:rPr>
          <w:b/>
          <w:sz w:val="28"/>
          <w:szCs w:val="28"/>
          <w:lang w:eastAsia="zh-CN"/>
        </w:rPr>
        <w:t>7. Контроль за ходом виконання Програми</w:t>
      </w:r>
      <w:bookmarkEnd w:id="0"/>
    </w:p>
    <w:p w14:paraId="415C4F1C">
      <w:pPr>
        <w:rPr>
          <w:sz w:val="16"/>
          <w:szCs w:val="16"/>
          <w:lang w:eastAsia="zh-CN"/>
        </w:rPr>
      </w:pPr>
    </w:p>
    <w:p w14:paraId="7518653F">
      <w:pPr>
        <w:tabs>
          <w:tab w:val="left" w:pos="567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Координація діяльності та систематичний контроль за виконанням передбачених Програмою заходів покладається на </w:t>
      </w:r>
      <w:r>
        <w:rPr>
          <w:sz w:val="28"/>
          <w:szCs w:val="28"/>
          <w:lang w:val="uk-UA" w:eastAsia="uk-UA"/>
        </w:rPr>
        <w:t>фінансовий відділ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>Б</w:t>
      </w:r>
      <w:r>
        <w:rPr>
          <w:sz w:val="28"/>
          <w:szCs w:val="28"/>
          <w:lang w:eastAsia="uk-UA"/>
        </w:rPr>
        <w:t>аш</w:t>
      </w:r>
      <w:r>
        <w:rPr>
          <w:sz w:val="28"/>
          <w:szCs w:val="28"/>
          <w:lang w:val="uk-UA" w:eastAsia="uk-UA"/>
        </w:rPr>
        <w:t>теч</w:t>
      </w:r>
      <w:r>
        <w:rPr>
          <w:sz w:val="28"/>
          <w:szCs w:val="28"/>
          <w:lang w:eastAsia="uk-UA"/>
        </w:rPr>
        <w:t xml:space="preserve">ківської </w:t>
      </w:r>
      <w:r>
        <w:rPr>
          <w:sz w:val="28"/>
          <w:szCs w:val="28"/>
          <w:lang w:val="uk-UA" w:eastAsia="uk-UA"/>
        </w:rPr>
        <w:t>с</w:t>
      </w:r>
      <w:r>
        <w:rPr>
          <w:sz w:val="28"/>
          <w:szCs w:val="28"/>
          <w:lang w:eastAsia="uk-UA"/>
        </w:rPr>
        <w:t>і</w:t>
      </w:r>
      <w:r>
        <w:rPr>
          <w:sz w:val="28"/>
          <w:szCs w:val="28"/>
          <w:lang w:val="uk-UA" w:eastAsia="uk-UA"/>
        </w:rPr>
        <w:t>ль</w:t>
      </w:r>
      <w:r>
        <w:rPr>
          <w:sz w:val="28"/>
          <w:szCs w:val="28"/>
          <w:lang w:eastAsia="uk-UA"/>
        </w:rPr>
        <w:t>ської ради</w:t>
      </w:r>
      <w:r>
        <w:rPr>
          <w:sz w:val="28"/>
          <w:szCs w:val="28"/>
          <w:lang w:eastAsia="zh-CN"/>
        </w:rPr>
        <w:t xml:space="preserve">. </w:t>
      </w:r>
    </w:p>
    <w:p w14:paraId="67CC2E82">
      <w:pPr>
        <w:tabs>
          <w:tab w:val="left" w:pos="567"/>
        </w:tabs>
        <w:ind w:firstLine="709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eastAsia="zh-CN"/>
        </w:rPr>
        <w:t>Оцінка ефективності Програми здійснюється на підставі аналізу результативних показників, а також інформації, що міститься у бюджетних запитах, кошторисах та звітах про виконання паспортів Програми.</w:t>
      </w:r>
    </w:p>
    <w:p w14:paraId="0AB7D5F3">
      <w:pPr>
        <w:tabs>
          <w:tab w:val="left" w:pos="567"/>
        </w:tabs>
        <w:ind w:firstLine="709"/>
        <w:jc w:val="both"/>
        <w:rPr>
          <w:sz w:val="28"/>
          <w:szCs w:val="28"/>
          <w:lang w:val="uk-UA" w:eastAsia="zh-CN"/>
        </w:rPr>
      </w:pPr>
    </w:p>
    <w:p w14:paraId="6914782B">
      <w:pPr>
        <w:keepNext/>
        <w:jc w:val="center"/>
        <w:outlineLvl w:val="0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8. Результативні показники</w:t>
      </w:r>
    </w:p>
    <w:p w14:paraId="021CD711">
      <w:pPr>
        <w:keepNext/>
        <w:jc w:val="center"/>
        <w:outlineLvl w:val="0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(критерії оцінки ефективності виконання заходів Програми)</w:t>
      </w:r>
    </w:p>
    <w:p w14:paraId="40D9786F">
      <w:pPr>
        <w:keepNext/>
        <w:jc w:val="center"/>
        <w:outlineLvl w:val="0"/>
        <w:rPr>
          <w:b/>
          <w:sz w:val="16"/>
          <w:szCs w:val="16"/>
          <w:lang w:eastAsia="uk-UA"/>
        </w:rPr>
      </w:pPr>
    </w:p>
    <w:p w14:paraId="4057986A">
      <w:pPr>
        <w:keepNext/>
        <w:ind w:firstLine="720"/>
        <w:jc w:val="both"/>
        <w:outlineLvl w:val="0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Результативним показником ефективності виконання заходів Програми – є проведення видатків, необхідних для </w:t>
      </w:r>
      <w:r>
        <w:rPr>
          <w:sz w:val="28"/>
          <w:szCs w:val="28"/>
        </w:rPr>
        <w:t>покращення матеріально-технічної бази військових частин Збройних Сил України, підрозділів Національної гвардії України, Національної поліції України та інших військових формувань, що підвищить ефективність цивільно-військового співробітництва та сприятиме обороноздатності та мобілізаційній готовності держави.</w:t>
      </w:r>
    </w:p>
    <w:p w14:paraId="73B5908C">
      <w:pPr>
        <w:keepNext/>
        <w:ind w:firstLine="720"/>
        <w:jc w:val="center"/>
        <w:outlineLvl w:val="0"/>
        <w:rPr>
          <w:b/>
          <w:sz w:val="28"/>
          <w:szCs w:val="28"/>
          <w:lang w:eastAsia="uk-UA"/>
        </w:rPr>
      </w:pPr>
    </w:p>
    <w:p w14:paraId="72032A16">
      <w:pPr>
        <w:keepNext/>
        <w:ind w:firstLine="720"/>
        <w:jc w:val="center"/>
        <w:outlineLvl w:val="0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9. Оцінка ефективності виконання заходів Програми</w:t>
      </w:r>
    </w:p>
    <w:p w14:paraId="0586E49A">
      <w:pPr>
        <w:widowControl w:val="0"/>
        <w:autoSpaceDE w:val="0"/>
        <w:autoSpaceDN w:val="0"/>
        <w:adjustRightInd w:val="0"/>
        <w:jc w:val="center"/>
        <w:rPr>
          <w:b/>
          <w:spacing w:val="-6"/>
          <w:sz w:val="16"/>
          <w:szCs w:val="16"/>
        </w:rPr>
      </w:pPr>
    </w:p>
    <w:p w14:paraId="1B3F908C">
      <w:pPr>
        <w:pStyle w:val="31"/>
        <w:ind w:firstLine="567"/>
        <w:jc w:val="both"/>
        <w:rPr>
          <w:color w:val="auto"/>
          <w:spacing w:val="-6"/>
          <w:sz w:val="28"/>
          <w:szCs w:val="28"/>
          <w:lang w:val="uk-UA" w:eastAsia="ru-RU"/>
        </w:rPr>
      </w:pPr>
      <w:r>
        <w:rPr>
          <w:color w:val="auto"/>
          <w:spacing w:val="-6"/>
          <w:sz w:val="28"/>
          <w:szCs w:val="28"/>
          <w:lang w:val="uk-UA" w:eastAsia="ru-RU"/>
        </w:rPr>
        <w:t xml:space="preserve">Виконання Програми </w:t>
      </w:r>
      <w:r>
        <w:rPr>
          <w:color w:val="auto"/>
          <w:sz w:val="28"/>
          <w:szCs w:val="28"/>
          <w:lang w:val="uk-UA"/>
        </w:rPr>
        <w:t>дасть змогу своєчасно та якісно виконувати вимоги законів України, указів Президента України та постанов Кабінету Міністрів України</w:t>
      </w:r>
      <w:r>
        <w:rPr>
          <w:color w:val="auto"/>
          <w:spacing w:val="-6"/>
          <w:sz w:val="28"/>
          <w:szCs w:val="28"/>
          <w:lang w:val="uk-UA" w:eastAsia="ru-RU"/>
        </w:rPr>
        <w:t>, підвищить обороноздатність України.</w:t>
      </w:r>
    </w:p>
    <w:p w14:paraId="06D3F187">
      <w:pPr>
        <w:pStyle w:val="31"/>
        <w:ind w:firstLine="567"/>
        <w:jc w:val="both"/>
        <w:rPr>
          <w:color w:val="auto"/>
          <w:sz w:val="28"/>
          <w:szCs w:val="28"/>
          <w:lang w:val="uk-UA" w:eastAsia="uk-UA"/>
        </w:rPr>
      </w:pPr>
    </w:p>
    <w:p w14:paraId="70E016A5">
      <w:pPr>
        <w:pStyle w:val="10"/>
        <w:tabs>
          <w:tab w:val="left" w:pos="7088"/>
        </w:tabs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>Секретар сільської ради                                              Ольга СТЕПАНЮК</w:t>
      </w:r>
    </w:p>
    <w:sectPr>
      <w:headerReference r:id="rId3" w:type="default"/>
      <w:pgSz w:w="11906" w:h="16838"/>
      <w:pgMar w:top="709" w:right="849" w:bottom="993" w:left="993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ADA68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7AE48D9F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812D7"/>
    <w:multiLevelType w:val="multilevel"/>
    <w:tmpl w:val="19E812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2051F77"/>
    <w:multiLevelType w:val="multilevel"/>
    <w:tmpl w:val="32051F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documentProtection w:enforcement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CF"/>
    <w:rsid w:val="0001253F"/>
    <w:rsid w:val="00025538"/>
    <w:rsid w:val="000258C8"/>
    <w:rsid w:val="00040BFD"/>
    <w:rsid w:val="0004148D"/>
    <w:rsid w:val="0004345E"/>
    <w:rsid w:val="000451D5"/>
    <w:rsid w:val="000464C3"/>
    <w:rsid w:val="00057761"/>
    <w:rsid w:val="000975A1"/>
    <w:rsid w:val="000A0393"/>
    <w:rsid w:val="000C5E08"/>
    <w:rsid w:val="000F043D"/>
    <w:rsid w:val="000F44C9"/>
    <w:rsid w:val="000F6DDB"/>
    <w:rsid w:val="001130DA"/>
    <w:rsid w:val="001318D6"/>
    <w:rsid w:val="0013379C"/>
    <w:rsid w:val="00155DAA"/>
    <w:rsid w:val="00160E94"/>
    <w:rsid w:val="00176F11"/>
    <w:rsid w:val="00181DD2"/>
    <w:rsid w:val="001918D8"/>
    <w:rsid w:val="00196C4C"/>
    <w:rsid w:val="001B3DF4"/>
    <w:rsid w:val="001C31D3"/>
    <w:rsid w:val="001D0600"/>
    <w:rsid w:val="001D5F1B"/>
    <w:rsid w:val="00212F3A"/>
    <w:rsid w:val="002169D6"/>
    <w:rsid w:val="00226997"/>
    <w:rsid w:val="00236BF8"/>
    <w:rsid w:val="00237EB1"/>
    <w:rsid w:val="00266A60"/>
    <w:rsid w:val="0029313E"/>
    <w:rsid w:val="002C318B"/>
    <w:rsid w:val="002C5A9B"/>
    <w:rsid w:val="002C5D62"/>
    <w:rsid w:val="002D1328"/>
    <w:rsid w:val="002D1737"/>
    <w:rsid w:val="002D6AA4"/>
    <w:rsid w:val="002E2433"/>
    <w:rsid w:val="002E32E8"/>
    <w:rsid w:val="002E4B0C"/>
    <w:rsid w:val="00335388"/>
    <w:rsid w:val="00336962"/>
    <w:rsid w:val="00374A0A"/>
    <w:rsid w:val="003869C7"/>
    <w:rsid w:val="003872F2"/>
    <w:rsid w:val="0039156F"/>
    <w:rsid w:val="00395832"/>
    <w:rsid w:val="003D1681"/>
    <w:rsid w:val="003E4585"/>
    <w:rsid w:val="003F41E0"/>
    <w:rsid w:val="003F723F"/>
    <w:rsid w:val="004052A6"/>
    <w:rsid w:val="00407B56"/>
    <w:rsid w:val="00422C2B"/>
    <w:rsid w:val="004433C3"/>
    <w:rsid w:val="00447A86"/>
    <w:rsid w:val="00447F31"/>
    <w:rsid w:val="00454D79"/>
    <w:rsid w:val="00463EC0"/>
    <w:rsid w:val="0046607B"/>
    <w:rsid w:val="004830FA"/>
    <w:rsid w:val="00486E6F"/>
    <w:rsid w:val="004906E8"/>
    <w:rsid w:val="00495D97"/>
    <w:rsid w:val="004A627C"/>
    <w:rsid w:val="004C555E"/>
    <w:rsid w:val="004F0B48"/>
    <w:rsid w:val="004F3602"/>
    <w:rsid w:val="00507C74"/>
    <w:rsid w:val="00512258"/>
    <w:rsid w:val="00517691"/>
    <w:rsid w:val="00525426"/>
    <w:rsid w:val="005518C1"/>
    <w:rsid w:val="00577EA0"/>
    <w:rsid w:val="005836BC"/>
    <w:rsid w:val="00596054"/>
    <w:rsid w:val="005A6605"/>
    <w:rsid w:val="005B4DC6"/>
    <w:rsid w:val="005C15D6"/>
    <w:rsid w:val="005C3B73"/>
    <w:rsid w:val="005E6973"/>
    <w:rsid w:val="00606BED"/>
    <w:rsid w:val="00615E50"/>
    <w:rsid w:val="00621F2E"/>
    <w:rsid w:val="00632FDD"/>
    <w:rsid w:val="006609E5"/>
    <w:rsid w:val="0067101D"/>
    <w:rsid w:val="0069366E"/>
    <w:rsid w:val="00696D30"/>
    <w:rsid w:val="006B20EB"/>
    <w:rsid w:val="006D03F4"/>
    <w:rsid w:val="006E3E4E"/>
    <w:rsid w:val="0071388E"/>
    <w:rsid w:val="00715F63"/>
    <w:rsid w:val="007216D1"/>
    <w:rsid w:val="00733DFE"/>
    <w:rsid w:val="007528D9"/>
    <w:rsid w:val="00770DF1"/>
    <w:rsid w:val="00774071"/>
    <w:rsid w:val="007931C3"/>
    <w:rsid w:val="007A031B"/>
    <w:rsid w:val="007B137C"/>
    <w:rsid w:val="007B1A98"/>
    <w:rsid w:val="007D2033"/>
    <w:rsid w:val="007E06AD"/>
    <w:rsid w:val="007E240B"/>
    <w:rsid w:val="007F1C36"/>
    <w:rsid w:val="007F4AD0"/>
    <w:rsid w:val="00802106"/>
    <w:rsid w:val="008027EB"/>
    <w:rsid w:val="00806B86"/>
    <w:rsid w:val="00807D88"/>
    <w:rsid w:val="00816695"/>
    <w:rsid w:val="00827B1B"/>
    <w:rsid w:val="00836424"/>
    <w:rsid w:val="008436FB"/>
    <w:rsid w:val="0085130D"/>
    <w:rsid w:val="00855DEA"/>
    <w:rsid w:val="0086074D"/>
    <w:rsid w:val="00860DC0"/>
    <w:rsid w:val="00872B60"/>
    <w:rsid w:val="00873EF4"/>
    <w:rsid w:val="008826D6"/>
    <w:rsid w:val="0088447F"/>
    <w:rsid w:val="0089393E"/>
    <w:rsid w:val="008A265C"/>
    <w:rsid w:val="008C3CCF"/>
    <w:rsid w:val="008C62C8"/>
    <w:rsid w:val="008C66AE"/>
    <w:rsid w:val="008D54C3"/>
    <w:rsid w:val="008E123F"/>
    <w:rsid w:val="008E63AD"/>
    <w:rsid w:val="0091576D"/>
    <w:rsid w:val="00916456"/>
    <w:rsid w:val="00920251"/>
    <w:rsid w:val="0094152B"/>
    <w:rsid w:val="009567F7"/>
    <w:rsid w:val="00962FA1"/>
    <w:rsid w:val="0099054B"/>
    <w:rsid w:val="009A48D1"/>
    <w:rsid w:val="009B0B4F"/>
    <w:rsid w:val="009B3871"/>
    <w:rsid w:val="009C1D9E"/>
    <w:rsid w:val="009C7116"/>
    <w:rsid w:val="009E4F64"/>
    <w:rsid w:val="00A14AB3"/>
    <w:rsid w:val="00A22088"/>
    <w:rsid w:val="00A2673E"/>
    <w:rsid w:val="00A55515"/>
    <w:rsid w:val="00A811C2"/>
    <w:rsid w:val="00A85320"/>
    <w:rsid w:val="00AA44B8"/>
    <w:rsid w:val="00AB0212"/>
    <w:rsid w:val="00AC61F8"/>
    <w:rsid w:val="00AE148A"/>
    <w:rsid w:val="00B04055"/>
    <w:rsid w:val="00B3482A"/>
    <w:rsid w:val="00B478D4"/>
    <w:rsid w:val="00B55E14"/>
    <w:rsid w:val="00B91536"/>
    <w:rsid w:val="00BC2A13"/>
    <w:rsid w:val="00BE27D8"/>
    <w:rsid w:val="00BF1CD5"/>
    <w:rsid w:val="00C054D2"/>
    <w:rsid w:val="00C2139B"/>
    <w:rsid w:val="00C21EEC"/>
    <w:rsid w:val="00C2769B"/>
    <w:rsid w:val="00C50C27"/>
    <w:rsid w:val="00C67BB6"/>
    <w:rsid w:val="00C9643B"/>
    <w:rsid w:val="00C973EA"/>
    <w:rsid w:val="00CB3457"/>
    <w:rsid w:val="00CD1EE7"/>
    <w:rsid w:val="00CF0E21"/>
    <w:rsid w:val="00CF4FDC"/>
    <w:rsid w:val="00CF667C"/>
    <w:rsid w:val="00D03CF1"/>
    <w:rsid w:val="00D11708"/>
    <w:rsid w:val="00D12B19"/>
    <w:rsid w:val="00D22F48"/>
    <w:rsid w:val="00D304A3"/>
    <w:rsid w:val="00D31A7A"/>
    <w:rsid w:val="00D362D7"/>
    <w:rsid w:val="00D42125"/>
    <w:rsid w:val="00D4217F"/>
    <w:rsid w:val="00D462E3"/>
    <w:rsid w:val="00D46CD4"/>
    <w:rsid w:val="00D52BD2"/>
    <w:rsid w:val="00D556F1"/>
    <w:rsid w:val="00D61380"/>
    <w:rsid w:val="00DB5E2E"/>
    <w:rsid w:val="00DB69E1"/>
    <w:rsid w:val="00DE6D8D"/>
    <w:rsid w:val="00DF308D"/>
    <w:rsid w:val="00E201A6"/>
    <w:rsid w:val="00E22BE5"/>
    <w:rsid w:val="00E3343D"/>
    <w:rsid w:val="00E53B9F"/>
    <w:rsid w:val="00E54DB1"/>
    <w:rsid w:val="00E87D7D"/>
    <w:rsid w:val="00EB3074"/>
    <w:rsid w:val="00ED0F79"/>
    <w:rsid w:val="00ED4709"/>
    <w:rsid w:val="00EF3D86"/>
    <w:rsid w:val="00EF6250"/>
    <w:rsid w:val="00F048BF"/>
    <w:rsid w:val="00F053E7"/>
    <w:rsid w:val="00F05CB3"/>
    <w:rsid w:val="00F062F7"/>
    <w:rsid w:val="00F0791C"/>
    <w:rsid w:val="00F176EE"/>
    <w:rsid w:val="00F1778A"/>
    <w:rsid w:val="00F30948"/>
    <w:rsid w:val="00F46EF2"/>
    <w:rsid w:val="00F5517C"/>
    <w:rsid w:val="00F56F62"/>
    <w:rsid w:val="00F759EF"/>
    <w:rsid w:val="00F838F7"/>
    <w:rsid w:val="00F86AF6"/>
    <w:rsid w:val="00F93886"/>
    <w:rsid w:val="00F961A8"/>
    <w:rsid w:val="00FA15F3"/>
    <w:rsid w:val="00FA4725"/>
    <w:rsid w:val="00FE0254"/>
    <w:rsid w:val="00FF0AA6"/>
    <w:rsid w:val="00FF345D"/>
    <w:rsid w:val="00FF75B1"/>
    <w:rsid w:val="72CC6A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Mangal"/>
      <w:kern w:val="1"/>
      <w:sz w:val="24"/>
      <w:szCs w:val="24"/>
      <w:lang w:val="ru-RU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qFormat/>
    <w:uiPriority w:val="99"/>
    <w:rPr>
      <w:rFonts w:ascii="Segoe UI" w:hAnsi="Segoe UI"/>
      <w:sz w:val="18"/>
      <w:szCs w:val="16"/>
    </w:rPr>
  </w:style>
  <w:style w:type="paragraph" w:styleId="5">
    <w:name w:val="Body Text 2"/>
    <w:basedOn w:val="1"/>
    <w:link w:val="32"/>
    <w:qFormat/>
    <w:uiPriority w:val="0"/>
    <w:pPr>
      <w:suppressAutoHyphens w:val="0"/>
      <w:spacing w:after="120" w:line="480" w:lineRule="auto"/>
    </w:pPr>
    <w:rPr>
      <w:rFonts w:eastAsia="Calibri" w:cs="Times New Roman"/>
      <w:kern w:val="0"/>
      <w:lang w:eastAsia="ru-RU" w:bidi="ar-SA"/>
    </w:rPr>
  </w:style>
  <w:style w:type="paragraph" w:styleId="6">
    <w:name w:val="footer"/>
    <w:basedOn w:val="1"/>
    <w:link w:val="12"/>
    <w:qFormat/>
    <w:uiPriority w:val="99"/>
    <w:pPr>
      <w:tabs>
        <w:tab w:val="center" w:pos="4819"/>
        <w:tab w:val="right" w:pos="9639"/>
      </w:tabs>
    </w:pPr>
    <w:rPr>
      <w:szCs w:val="21"/>
    </w:rPr>
  </w:style>
  <w:style w:type="paragraph" w:styleId="7">
    <w:name w:val="header"/>
    <w:basedOn w:val="1"/>
    <w:link w:val="11"/>
    <w:qFormat/>
    <w:uiPriority w:val="99"/>
    <w:pPr>
      <w:tabs>
        <w:tab w:val="center" w:pos="4819"/>
        <w:tab w:val="right" w:pos="9639"/>
      </w:tabs>
    </w:pPr>
    <w:rPr>
      <w:szCs w:val="21"/>
    </w:rPr>
  </w:style>
  <w:style w:type="paragraph" w:styleId="8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rFonts w:cs="Times New Roman"/>
      <w:kern w:val="0"/>
      <w:lang w:eastAsia="ru-RU" w:bidi="ar-SA"/>
    </w:rPr>
  </w:style>
  <w:style w:type="table" w:styleId="9">
    <w:name w:val="Table Grid"/>
    <w:basedOn w:val="3"/>
    <w:qFormat/>
    <w:locked/>
    <w:uiPriority w:val="59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Без интервала1"/>
    <w:qFormat/>
    <w:uiPriority w:val="0"/>
    <w:pPr>
      <w:suppressAutoHyphens/>
    </w:pPr>
    <w:rPr>
      <w:rFonts w:ascii="Arial" w:hAnsi="Arial" w:eastAsia="Arial Unicode MS" w:cs="Mangal"/>
      <w:kern w:val="1"/>
      <w:sz w:val="20"/>
      <w:szCs w:val="24"/>
      <w:lang w:val="uk-UA" w:eastAsia="hi-IN" w:bidi="hi-IN"/>
    </w:rPr>
  </w:style>
  <w:style w:type="character" w:customStyle="1" w:styleId="11">
    <w:name w:val="Верхний колонтитул Знак"/>
    <w:basedOn w:val="2"/>
    <w:link w:val="7"/>
    <w:qFormat/>
    <w:locked/>
    <w:uiPriority w:val="99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character" w:customStyle="1" w:styleId="12">
    <w:name w:val="Нижний колонтитул Знак"/>
    <w:basedOn w:val="2"/>
    <w:link w:val="6"/>
    <w:qFormat/>
    <w:locked/>
    <w:uiPriority w:val="99"/>
    <w:rPr>
      <w:rFonts w:ascii="Times New Roman" w:hAnsi="Times New Roman" w:cs="Mangal"/>
      <w:kern w:val="1"/>
      <w:sz w:val="21"/>
      <w:szCs w:val="21"/>
      <w:lang w:val="ru-RU" w:eastAsia="hi-IN" w:bidi="hi-IN"/>
    </w:rPr>
  </w:style>
  <w:style w:type="character" w:customStyle="1" w:styleId="13">
    <w:name w:val="Текст выноски Знак"/>
    <w:basedOn w:val="2"/>
    <w:link w:val="4"/>
    <w:semiHidden/>
    <w:qFormat/>
    <w:locked/>
    <w:uiPriority w:val="99"/>
    <w:rPr>
      <w:rFonts w:ascii="Segoe UI" w:hAnsi="Segoe UI" w:cs="Mangal"/>
      <w:kern w:val="1"/>
      <w:sz w:val="16"/>
      <w:szCs w:val="16"/>
      <w:lang w:val="ru-RU" w:eastAsia="hi-IN" w:bidi="hi-IN"/>
    </w:rPr>
  </w:style>
  <w:style w:type="paragraph" w:customStyle="1" w:styleId="14">
    <w:name w:val="rvps17"/>
    <w:basedOn w:val="1"/>
    <w:qFormat/>
    <w:uiPriority w:val="99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val="uk-UA" w:eastAsia="uk-UA" w:bidi="ar-SA"/>
    </w:rPr>
  </w:style>
  <w:style w:type="character" w:customStyle="1" w:styleId="15">
    <w:name w:val="rvts78"/>
    <w:basedOn w:val="2"/>
    <w:qFormat/>
    <w:uiPriority w:val="99"/>
    <w:rPr>
      <w:rFonts w:cs="Times New Roman"/>
    </w:rPr>
  </w:style>
  <w:style w:type="paragraph" w:customStyle="1" w:styleId="16">
    <w:name w:val="rvps6"/>
    <w:basedOn w:val="1"/>
    <w:qFormat/>
    <w:uiPriority w:val="99"/>
    <w:pPr>
      <w:suppressAutoHyphens w:val="0"/>
      <w:spacing w:before="100" w:beforeAutospacing="1" w:after="100" w:afterAutospacing="1"/>
    </w:pPr>
    <w:rPr>
      <w:rFonts w:eastAsia="Calibri" w:cs="Times New Roman"/>
      <w:kern w:val="0"/>
      <w:lang w:val="uk-UA" w:eastAsia="uk-UA" w:bidi="ar-SA"/>
    </w:rPr>
  </w:style>
  <w:style w:type="character" w:customStyle="1" w:styleId="17">
    <w:name w:val="rvts23"/>
    <w:basedOn w:val="2"/>
    <w:qFormat/>
    <w:uiPriority w:val="99"/>
    <w:rPr>
      <w:rFonts w:cs="Times New Roman"/>
    </w:rPr>
  </w:style>
  <w:style w:type="character" w:customStyle="1" w:styleId="18">
    <w:name w:val="Основной текст_"/>
    <w:basedOn w:val="2"/>
    <w:link w:val="19"/>
    <w:qFormat/>
    <w:locked/>
    <w:uiPriority w:val="0"/>
    <w:rPr>
      <w:rFonts w:cs="Times New Roman"/>
      <w:color w:val="3C3B40"/>
      <w:sz w:val="22"/>
      <w:szCs w:val="22"/>
      <w:lang w:bidi="ar-SA"/>
    </w:rPr>
  </w:style>
  <w:style w:type="paragraph" w:customStyle="1" w:styleId="19">
    <w:name w:val="Основной текст1"/>
    <w:basedOn w:val="1"/>
    <w:link w:val="18"/>
    <w:qFormat/>
    <w:uiPriority w:val="99"/>
    <w:pPr>
      <w:widowControl w:val="0"/>
      <w:shd w:val="clear" w:color="auto" w:fill="FFFFFF"/>
      <w:suppressAutoHyphens w:val="0"/>
      <w:spacing w:line="262" w:lineRule="auto"/>
      <w:ind w:firstLine="400"/>
    </w:pPr>
    <w:rPr>
      <w:rFonts w:eastAsia="Calibri" w:cs="Times New Roman"/>
      <w:color w:val="3C3B40"/>
      <w:kern w:val="0"/>
      <w:sz w:val="22"/>
      <w:szCs w:val="22"/>
      <w:lang w:val="uk-UA" w:eastAsia="uk-UA" w:bidi="ar-SA"/>
    </w:rPr>
  </w:style>
  <w:style w:type="character" w:customStyle="1" w:styleId="20">
    <w:name w:val="Другое_"/>
    <w:basedOn w:val="2"/>
    <w:link w:val="21"/>
    <w:qFormat/>
    <w:locked/>
    <w:uiPriority w:val="99"/>
    <w:rPr>
      <w:rFonts w:cs="Times New Roman"/>
      <w:color w:val="3C3B40"/>
      <w:sz w:val="22"/>
      <w:szCs w:val="22"/>
      <w:lang w:bidi="ar-SA"/>
    </w:rPr>
  </w:style>
  <w:style w:type="paragraph" w:customStyle="1" w:styleId="21">
    <w:name w:val="Другое"/>
    <w:basedOn w:val="1"/>
    <w:link w:val="20"/>
    <w:qFormat/>
    <w:uiPriority w:val="99"/>
    <w:pPr>
      <w:widowControl w:val="0"/>
      <w:shd w:val="clear" w:color="auto" w:fill="FFFFFF"/>
      <w:suppressAutoHyphens w:val="0"/>
      <w:spacing w:line="262" w:lineRule="auto"/>
      <w:ind w:firstLine="400"/>
    </w:pPr>
    <w:rPr>
      <w:rFonts w:eastAsia="Calibri" w:cs="Times New Roman"/>
      <w:color w:val="3C3B40"/>
      <w:kern w:val="0"/>
      <w:sz w:val="22"/>
      <w:szCs w:val="22"/>
      <w:lang w:val="uk-UA" w:eastAsia="uk-UA" w:bidi="ar-SA"/>
    </w:rPr>
  </w:style>
  <w:style w:type="paragraph" w:customStyle="1" w:styleId="22">
    <w:name w:val="rtecenter"/>
    <w:basedOn w:val="1"/>
    <w:qFormat/>
    <w:uiPriority w:val="99"/>
    <w:pPr>
      <w:suppressAutoHyphens w:val="0"/>
      <w:spacing w:before="100" w:beforeAutospacing="1" w:after="100" w:afterAutospacing="1"/>
    </w:pPr>
    <w:rPr>
      <w:rFonts w:cs="Times New Roman"/>
      <w:kern w:val="0"/>
      <w:lang w:val="uk-UA" w:eastAsia="uk-UA" w:bidi="ar-SA"/>
    </w:rPr>
  </w:style>
  <w:style w:type="paragraph" w:customStyle="1" w:styleId="23">
    <w:name w:val="rtejustify"/>
    <w:basedOn w:val="1"/>
    <w:qFormat/>
    <w:uiPriority w:val="99"/>
    <w:pPr>
      <w:suppressAutoHyphens w:val="0"/>
      <w:spacing w:before="100" w:beforeAutospacing="1" w:after="100" w:afterAutospacing="1"/>
    </w:pPr>
    <w:rPr>
      <w:rFonts w:cs="Times New Roman"/>
      <w:kern w:val="0"/>
      <w:lang w:val="uk-UA" w:eastAsia="uk-UA" w:bidi="ar-SA"/>
    </w:rPr>
  </w:style>
  <w:style w:type="paragraph" w:styleId="24">
    <w:name w:val="No Spacing"/>
    <w:qFormat/>
    <w:uiPriority w:val="99"/>
    <w:pPr>
      <w:widowControl w:val="0"/>
    </w:pPr>
    <w:rPr>
      <w:rFonts w:ascii="Microsoft Sans Serif" w:hAnsi="Microsoft Sans Serif" w:eastAsia="Calibri" w:cs="Microsoft Sans Serif"/>
      <w:color w:val="000000"/>
      <w:sz w:val="24"/>
      <w:szCs w:val="24"/>
      <w:lang w:val="uk-UA" w:eastAsia="uk-UA" w:bidi="ar-SA"/>
    </w:rPr>
  </w:style>
  <w:style w:type="paragraph" w:customStyle="1" w:styleId="25">
    <w:name w:val="Основной текст2"/>
    <w:basedOn w:val="1"/>
    <w:qFormat/>
    <w:uiPriority w:val="0"/>
    <w:pPr>
      <w:widowControl w:val="0"/>
      <w:shd w:val="clear" w:color="auto" w:fill="FFFFFF"/>
      <w:suppressAutoHyphens w:val="0"/>
      <w:spacing w:before="900" w:line="298" w:lineRule="exact"/>
      <w:ind w:hanging="360"/>
      <w:jc w:val="both"/>
    </w:pPr>
    <w:rPr>
      <w:rFonts w:cs="Times New Roman"/>
      <w:kern w:val="0"/>
      <w:sz w:val="20"/>
      <w:szCs w:val="20"/>
      <w:shd w:val="clear" w:color="auto" w:fill="FFFFFF"/>
      <w:lang w:bidi="ar-SA"/>
    </w:rPr>
  </w:style>
  <w:style w:type="paragraph" w:customStyle="1" w:styleId="26">
    <w:name w:val="Обычный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</w:pPr>
    <w:rPr>
      <w:rFonts w:ascii="Times New Roman" w:hAnsi="Times New Roman" w:eastAsia="Times New Roman" w:cs="Calibri"/>
      <w:kern w:val="1"/>
      <w:sz w:val="24"/>
      <w:szCs w:val="20"/>
      <w:lang w:val="ru-RU" w:eastAsia="uk-UA" w:bidi="ar-SA"/>
    </w:rPr>
  </w:style>
  <w:style w:type="paragraph" w:styleId="27">
    <w:name w:val="List Paragraph"/>
    <w:basedOn w:val="1"/>
    <w:qFormat/>
    <w:uiPriority w:val="34"/>
    <w:pPr>
      <w:suppressAutoHyphens w:val="0"/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kern w:val="0"/>
      <w:sz w:val="22"/>
      <w:szCs w:val="22"/>
      <w:lang w:eastAsia="ru-RU" w:bidi="ar-SA"/>
    </w:rPr>
  </w:style>
  <w:style w:type="character" w:customStyle="1" w:styleId="28">
    <w:name w:val="Основной текст (2)_"/>
    <w:basedOn w:val="2"/>
    <w:link w:val="29"/>
    <w:qFormat/>
    <w:uiPriority w:val="0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customStyle="1" w:styleId="29">
    <w:name w:val="Основной текст (2)5"/>
    <w:basedOn w:val="1"/>
    <w:link w:val="28"/>
    <w:qFormat/>
    <w:uiPriority w:val="0"/>
    <w:pPr>
      <w:widowControl w:val="0"/>
      <w:shd w:val="clear" w:color="auto" w:fill="FFFFFF"/>
      <w:suppressAutoHyphens w:val="0"/>
      <w:spacing w:before="240" w:line="293" w:lineRule="exact"/>
      <w:jc w:val="both"/>
    </w:pPr>
    <w:rPr>
      <w:rFonts w:cs="Times New Roman"/>
      <w:kern w:val="0"/>
      <w:sz w:val="26"/>
      <w:szCs w:val="26"/>
      <w:lang w:val="uk-UA" w:eastAsia="uk-UA" w:bidi="ar-SA"/>
    </w:rPr>
  </w:style>
  <w:style w:type="character" w:customStyle="1" w:styleId="30">
    <w:name w:val="Основной текст (2)3"/>
    <w:basedOn w:val="28"/>
    <w:qFormat/>
    <w:uiPriority w:val="0"/>
    <w:rPr>
      <w:rFonts w:ascii="Times New Roman" w:hAnsi="Times New Roman"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3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en-US" w:bidi="ar-SA"/>
    </w:rPr>
  </w:style>
  <w:style w:type="character" w:customStyle="1" w:styleId="32">
    <w:name w:val="Основной текст 2 Знак"/>
    <w:basedOn w:val="2"/>
    <w:link w:val="5"/>
    <w:qFormat/>
    <w:uiPriority w:val="0"/>
    <w:rPr>
      <w:rFonts w:ascii="Times New Roman" w:hAnsi="Times New Roman"/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426E-4E6F-46EC-98DD-B3F33BA4F4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4</Pages>
  <Words>5862</Words>
  <Characters>3342</Characters>
  <Lines>27</Lines>
  <Paragraphs>18</Paragraphs>
  <TotalTime>10</TotalTime>
  <ScaleCrop>false</ScaleCrop>
  <LinksUpToDate>false</LinksUpToDate>
  <CharactersWithSpaces>9186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2025-03-04T07:57:00Z</dcterms:created>
  <dc:creator>Користувач Windows</dc:creator>
  <cp:lastModifiedBy>Anna Borodii</cp:lastModifiedBy>
  <cp:lastPrinted>2025-03-05T12:20:00Z</cp:lastPrinted>
  <dcterms:modified xsi:type="dcterms:W3CDTF">2025-03-20T13:27:03Z</dcterms:modified>
  <dc:title>Додаток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FA029D58C9AA48F599DDBD7B7522C24A_13</vt:lpwstr>
  </property>
</Properties>
</file>