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5A" w:rsidRPr="001A0E2A" w:rsidRDefault="0003595A" w:rsidP="0003595A">
      <w:pPr>
        <w:ind w:hanging="142"/>
        <w:jc w:val="right"/>
        <w:rPr>
          <w:szCs w:val="28"/>
        </w:rPr>
      </w:pPr>
      <w:r w:rsidRPr="001A0E2A">
        <w:rPr>
          <w:szCs w:val="28"/>
        </w:rPr>
        <w:t>Додаток 2</w:t>
      </w:r>
    </w:p>
    <w:p w:rsidR="0003595A" w:rsidRPr="001A0E2A" w:rsidRDefault="0003595A" w:rsidP="0003595A">
      <w:pPr>
        <w:ind w:left="1580"/>
        <w:jc w:val="right"/>
        <w:rPr>
          <w:szCs w:val="28"/>
          <w:lang w:val="uk-UA"/>
        </w:rPr>
      </w:pPr>
      <w:r w:rsidRPr="001A0E2A">
        <w:rPr>
          <w:szCs w:val="28"/>
          <w:lang w:val="uk-UA"/>
        </w:rPr>
        <w:t>до рішення виконавчого комітету</w:t>
      </w:r>
    </w:p>
    <w:p w:rsidR="0003595A" w:rsidRPr="001A0E2A" w:rsidRDefault="0003595A" w:rsidP="0003595A">
      <w:pPr>
        <w:ind w:left="1580"/>
        <w:jc w:val="right"/>
        <w:rPr>
          <w:szCs w:val="28"/>
          <w:lang w:val="uk-UA"/>
        </w:rPr>
      </w:pPr>
      <w:r w:rsidRPr="001A0E2A">
        <w:rPr>
          <w:szCs w:val="28"/>
          <w:lang w:val="uk-UA"/>
        </w:rPr>
        <w:t>№</w:t>
      </w:r>
      <w:r>
        <w:rPr>
          <w:szCs w:val="28"/>
          <w:lang w:val="uk-UA"/>
        </w:rPr>
        <w:t xml:space="preserve"> 67  </w:t>
      </w:r>
      <w:r w:rsidRPr="001A0E2A">
        <w:rPr>
          <w:szCs w:val="28"/>
          <w:lang w:val="uk-UA"/>
        </w:rPr>
        <w:t xml:space="preserve"> від </w:t>
      </w:r>
      <w:r>
        <w:rPr>
          <w:szCs w:val="28"/>
          <w:lang w:val="uk-UA"/>
        </w:rPr>
        <w:t>20 листопада 2020</w:t>
      </w:r>
      <w:r w:rsidRPr="001A0E2A">
        <w:rPr>
          <w:szCs w:val="28"/>
          <w:lang w:val="uk-UA"/>
        </w:rPr>
        <w:t xml:space="preserve"> року</w:t>
      </w:r>
    </w:p>
    <w:p w:rsidR="0003595A" w:rsidRDefault="0003595A" w:rsidP="0003595A">
      <w:pPr>
        <w:ind w:left="1580"/>
        <w:jc w:val="center"/>
        <w:rPr>
          <w:b/>
          <w:sz w:val="30"/>
          <w:lang w:val="uk-UA"/>
        </w:rPr>
      </w:pPr>
    </w:p>
    <w:p w:rsidR="0003595A" w:rsidRDefault="0003595A" w:rsidP="0003595A">
      <w:pPr>
        <w:ind w:left="1580"/>
        <w:jc w:val="center"/>
        <w:rPr>
          <w:b/>
          <w:sz w:val="30"/>
        </w:rPr>
      </w:pPr>
      <w:r>
        <w:rPr>
          <w:b/>
          <w:sz w:val="30"/>
        </w:rPr>
        <w:t xml:space="preserve">Прогноз </w:t>
      </w:r>
      <w:r w:rsidRPr="00047397">
        <w:rPr>
          <w:b/>
          <w:lang w:val="uk-UA"/>
        </w:rPr>
        <w:t>Баштечківського</w:t>
      </w:r>
      <w:r w:rsidRPr="00047397">
        <w:rPr>
          <w:b/>
          <w:sz w:val="30"/>
          <w:lang w:val="uk-UA"/>
        </w:rPr>
        <w:t xml:space="preserve"> </w:t>
      </w:r>
      <w:r>
        <w:rPr>
          <w:b/>
          <w:sz w:val="30"/>
          <w:lang w:val="uk-UA"/>
        </w:rPr>
        <w:t>сільського</w:t>
      </w:r>
      <w:r>
        <w:rPr>
          <w:b/>
          <w:sz w:val="30"/>
        </w:rPr>
        <w:t xml:space="preserve"> бюджету</w:t>
      </w:r>
    </w:p>
    <w:p w:rsidR="0003595A" w:rsidRDefault="0003595A" w:rsidP="0003595A">
      <w:pPr>
        <w:ind w:left="1580"/>
        <w:jc w:val="center"/>
        <w:rPr>
          <w:b/>
          <w:sz w:val="30"/>
        </w:rPr>
      </w:pPr>
      <w:r>
        <w:rPr>
          <w:b/>
          <w:sz w:val="30"/>
        </w:rPr>
        <w:t>на 202</w:t>
      </w:r>
      <w:r>
        <w:rPr>
          <w:b/>
          <w:sz w:val="30"/>
          <w:lang w:val="uk-UA"/>
        </w:rPr>
        <w:t>2</w:t>
      </w:r>
      <w:r>
        <w:rPr>
          <w:b/>
          <w:sz w:val="30"/>
        </w:rPr>
        <w:t>-202</w:t>
      </w:r>
      <w:r>
        <w:rPr>
          <w:b/>
          <w:sz w:val="30"/>
          <w:lang w:val="uk-UA"/>
        </w:rPr>
        <w:t>3</w:t>
      </w:r>
      <w:r>
        <w:rPr>
          <w:b/>
          <w:sz w:val="30"/>
        </w:rPr>
        <w:t xml:space="preserve"> роки</w:t>
      </w:r>
    </w:p>
    <w:p w:rsidR="0003595A" w:rsidRDefault="0003595A" w:rsidP="0003595A"/>
    <w:p w:rsidR="0003595A" w:rsidRDefault="0003595A" w:rsidP="0003595A">
      <w:pPr>
        <w:ind w:left="4480"/>
        <w:rPr>
          <w:b/>
          <w:sz w:val="26"/>
        </w:rPr>
      </w:pPr>
      <w:r>
        <w:rPr>
          <w:b/>
          <w:sz w:val="26"/>
        </w:rPr>
        <w:t>Загальна частина</w:t>
      </w:r>
    </w:p>
    <w:p w:rsidR="0003595A" w:rsidRPr="009F1E80" w:rsidRDefault="0003595A" w:rsidP="0003595A">
      <w:pPr>
        <w:ind w:right="16"/>
        <w:jc w:val="both"/>
        <w:rPr>
          <w:sz w:val="26"/>
          <w:lang w:val="uk-UA"/>
        </w:rPr>
      </w:pPr>
      <w:r>
        <w:rPr>
          <w:sz w:val="26"/>
          <w:lang w:val="uk-UA"/>
        </w:rPr>
        <w:t xml:space="preserve">    </w:t>
      </w:r>
      <w:r w:rsidRPr="009F1E80">
        <w:rPr>
          <w:sz w:val="26"/>
          <w:lang w:val="uk-UA"/>
        </w:rPr>
        <w:t>Прогноз с</w:t>
      </w:r>
      <w:r>
        <w:rPr>
          <w:sz w:val="26"/>
          <w:lang w:val="uk-UA"/>
        </w:rPr>
        <w:t>і</w:t>
      </w:r>
      <w:r w:rsidRPr="009F1E80">
        <w:rPr>
          <w:sz w:val="26"/>
          <w:lang w:val="uk-UA"/>
        </w:rPr>
        <w:t xml:space="preserve">льського бюджету - документ, що визначає прогнозні показники фінансових ресурсів </w:t>
      </w:r>
      <w:r>
        <w:rPr>
          <w:sz w:val="26"/>
          <w:lang w:val="uk-UA"/>
        </w:rPr>
        <w:t>сільського</w:t>
      </w:r>
      <w:r w:rsidRPr="009F1E80">
        <w:rPr>
          <w:sz w:val="26"/>
          <w:lang w:val="uk-UA"/>
        </w:rPr>
        <w:t xml:space="preserve"> бюджету на два наступні за плановим бюджетні періоди для забезпечення завдань і функцій, і є орієнтиром бюджетної політики адміністративно-територіальної одиниці у середньостроковому періоді для збалансування напрямів політики розвитку з бюджетними можливостями.</w:t>
      </w:r>
    </w:p>
    <w:p w:rsidR="0003595A" w:rsidRPr="009F1E80" w:rsidRDefault="0003595A" w:rsidP="0003595A">
      <w:pPr>
        <w:ind w:right="36"/>
        <w:jc w:val="both"/>
        <w:rPr>
          <w:sz w:val="26"/>
          <w:lang w:val="uk-UA"/>
        </w:rPr>
      </w:pPr>
      <w:r>
        <w:rPr>
          <w:sz w:val="26"/>
          <w:lang w:val="uk-UA"/>
        </w:rPr>
        <w:t xml:space="preserve">    </w:t>
      </w:r>
      <w:r w:rsidRPr="009F1E80">
        <w:rPr>
          <w:sz w:val="26"/>
          <w:lang w:val="uk-UA"/>
        </w:rPr>
        <w:t>Подається прогноз разом з проектом рішення про с</w:t>
      </w:r>
      <w:r>
        <w:rPr>
          <w:sz w:val="26"/>
          <w:lang w:val="uk-UA"/>
        </w:rPr>
        <w:t>і</w:t>
      </w:r>
      <w:r w:rsidRPr="009F1E80">
        <w:rPr>
          <w:sz w:val="26"/>
          <w:lang w:val="uk-UA"/>
        </w:rPr>
        <w:t xml:space="preserve">льський  бюджет, уточнюється на підставі схваленого Кабінетом Міністрів України прогнозу Державного бюджету України на наступні за плановим два бюджетні періоди і прийнятого рішення про </w:t>
      </w:r>
      <w:r>
        <w:rPr>
          <w:sz w:val="26"/>
          <w:lang w:val="uk-UA"/>
        </w:rPr>
        <w:t>сільський</w:t>
      </w:r>
      <w:r w:rsidRPr="009F1E80">
        <w:rPr>
          <w:sz w:val="26"/>
          <w:lang w:val="uk-UA"/>
        </w:rPr>
        <w:t xml:space="preserve"> бюджет та схвалюється</w:t>
      </w:r>
      <w:r>
        <w:rPr>
          <w:sz w:val="26"/>
          <w:lang w:val="uk-UA"/>
        </w:rPr>
        <w:t xml:space="preserve"> сільською радою</w:t>
      </w:r>
      <w:r w:rsidRPr="009F1E80">
        <w:rPr>
          <w:sz w:val="26"/>
          <w:lang w:val="uk-UA"/>
        </w:rPr>
        <w:t>.</w:t>
      </w:r>
    </w:p>
    <w:p w:rsidR="0003595A" w:rsidRPr="009F1E80" w:rsidRDefault="0003595A" w:rsidP="0003595A">
      <w:pPr>
        <w:ind w:right="36"/>
        <w:jc w:val="both"/>
        <w:rPr>
          <w:sz w:val="26"/>
          <w:lang w:val="uk-UA"/>
        </w:rPr>
      </w:pPr>
      <w:r>
        <w:rPr>
          <w:sz w:val="26"/>
          <w:lang w:val="uk-UA"/>
        </w:rPr>
        <w:t xml:space="preserve">    </w:t>
      </w:r>
      <w:r w:rsidRPr="009F1E80">
        <w:rPr>
          <w:sz w:val="26"/>
          <w:lang w:val="uk-UA"/>
        </w:rPr>
        <w:t>Метою середньострокового бюджетного прогнозування є визначення фінансового ресурсу с</w:t>
      </w:r>
      <w:r>
        <w:rPr>
          <w:sz w:val="26"/>
          <w:lang w:val="uk-UA"/>
        </w:rPr>
        <w:t>ільського</w:t>
      </w:r>
      <w:r w:rsidRPr="009F1E80">
        <w:rPr>
          <w:sz w:val="26"/>
          <w:lang w:val="uk-UA"/>
        </w:rPr>
        <w:t xml:space="preserve"> бюджету на середньострокову перспективу, створення дієвого механізму управління бюджетним процесом, встановлення взаємозв’язку між стратегічними цілями розвитку об’єднаної територіальної громади та можливостями бюджету у середньостроковій перспективі, забезпечення прозорості, передбачуваності та послідовності бюджетної політики.</w:t>
      </w:r>
    </w:p>
    <w:p w:rsidR="0003595A" w:rsidRDefault="0003595A" w:rsidP="0003595A">
      <w:pPr>
        <w:ind w:right="36"/>
        <w:jc w:val="both"/>
        <w:rPr>
          <w:sz w:val="26"/>
        </w:rPr>
      </w:pPr>
      <w:r>
        <w:rPr>
          <w:sz w:val="26"/>
          <w:lang w:val="uk-UA"/>
        </w:rPr>
        <w:t xml:space="preserve">     </w:t>
      </w:r>
      <w:r>
        <w:rPr>
          <w:sz w:val="26"/>
        </w:rPr>
        <w:t>Основними завданнями (пріоритетами) бюджетної політики об’єднаної територіальної громади на середньострокову перспективу є:</w:t>
      </w:r>
    </w:p>
    <w:p w:rsidR="0003595A" w:rsidRPr="00EB0FEE" w:rsidRDefault="0003595A" w:rsidP="0003595A">
      <w:pPr>
        <w:tabs>
          <w:tab w:val="left" w:pos="1868"/>
        </w:tabs>
        <w:ind w:right="56"/>
        <w:jc w:val="both"/>
        <w:rPr>
          <w:sz w:val="26"/>
          <w:lang w:val="uk-UA"/>
        </w:rPr>
      </w:pPr>
      <w:r>
        <w:rPr>
          <w:sz w:val="26"/>
          <w:lang w:val="uk-UA"/>
        </w:rPr>
        <w:t xml:space="preserve">   - </w:t>
      </w:r>
      <w:r w:rsidRPr="00EB0FEE">
        <w:rPr>
          <w:sz w:val="26"/>
          <w:lang w:val="uk-UA"/>
        </w:rPr>
        <w:t>планування реальних надходжень с</w:t>
      </w:r>
      <w:r>
        <w:rPr>
          <w:sz w:val="26"/>
          <w:lang w:val="uk-UA"/>
        </w:rPr>
        <w:t>ільського</w:t>
      </w:r>
      <w:r w:rsidRPr="00EB0FEE">
        <w:rPr>
          <w:sz w:val="26"/>
          <w:lang w:val="uk-UA"/>
        </w:rPr>
        <w:t xml:space="preserve"> бюджету на основі прогнозних макропоказників економічного і соціального розвитку об’єднаної територіальної громади з урахуванням зміни податкової бази і фактичного рівня відповідних надходжень;</w:t>
      </w:r>
    </w:p>
    <w:p w:rsidR="0003595A" w:rsidRPr="00EB0FEE" w:rsidRDefault="0003595A" w:rsidP="0003595A">
      <w:pPr>
        <w:tabs>
          <w:tab w:val="left" w:pos="1872"/>
        </w:tabs>
        <w:ind w:right="56"/>
        <w:jc w:val="both"/>
        <w:rPr>
          <w:sz w:val="26"/>
          <w:lang w:val="uk-UA"/>
        </w:rPr>
      </w:pPr>
      <w:r>
        <w:rPr>
          <w:sz w:val="26"/>
          <w:lang w:val="uk-UA"/>
        </w:rPr>
        <w:t xml:space="preserve">  - </w:t>
      </w:r>
      <w:r w:rsidRPr="00EB0FEE">
        <w:rPr>
          <w:sz w:val="26"/>
          <w:lang w:val="uk-UA"/>
        </w:rPr>
        <w:t>забезпечення самостійності с</w:t>
      </w:r>
      <w:r>
        <w:rPr>
          <w:sz w:val="26"/>
          <w:lang w:val="uk-UA"/>
        </w:rPr>
        <w:t>ільського</w:t>
      </w:r>
      <w:r w:rsidRPr="00EB0FEE">
        <w:rPr>
          <w:sz w:val="26"/>
          <w:lang w:val="uk-UA"/>
        </w:rPr>
        <w:t xml:space="preserve"> бюджету, зміцнення його фінансової спроможності, підвищення прозорості та ефективності управління бюджетними коштами;</w:t>
      </w:r>
    </w:p>
    <w:p w:rsidR="0003595A" w:rsidRPr="00EB0FEE" w:rsidRDefault="0003595A" w:rsidP="0003595A">
      <w:pPr>
        <w:tabs>
          <w:tab w:val="left" w:pos="1930"/>
        </w:tabs>
        <w:ind w:right="76"/>
        <w:jc w:val="both"/>
        <w:rPr>
          <w:sz w:val="26"/>
          <w:lang w:val="uk-UA"/>
        </w:rPr>
      </w:pPr>
      <w:r>
        <w:rPr>
          <w:sz w:val="26"/>
          <w:lang w:val="uk-UA"/>
        </w:rPr>
        <w:t xml:space="preserve">  - </w:t>
      </w:r>
      <w:r w:rsidRPr="00EB0FEE">
        <w:rPr>
          <w:sz w:val="26"/>
          <w:lang w:val="uk-UA"/>
        </w:rPr>
        <w:t>використання фінансових ресурсів таким чином, щоб отримати максимальний економічний ефект і вирішити найбільш нагальні та важливі завдання;</w:t>
      </w:r>
    </w:p>
    <w:p w:rsidR="0003595A" w:rsidRDefault="0003595A" w:rsidP="0003595A">
      <w:pPr>
        <w:tabs>
          <w:tab w:val="left" w:pos="1859"/>
        </w:tabs>
        <w:ind w:right="76"/>
        <w:rPr>
          <w:sz w:val="26"/>
        </w:rPr>
      </w:pPr>
      <w:r>
        <w:rPr>
          <w:sz w:val="26"/>
          <w:lang w:val="uk-UA"/>
        </w:rPr>
        <w:t xml:space="preserve">   -</w:t>
      </w:r>
      <w:r>
        <w:rPr>
          <w:sz w:val="26"/>
        </w:rPr>
        <w:t>послідовна та передбачувана бюджетна політика, яка дозволить забезпечити фінансову стабільність;</w:t>
      </w:r>
    </w:p>
    <w:p w:rsidR="0003595A" w:rsidRPr="003026E7" w:rsidRDefault="0003595A" w:rsidP="0003595A">
      <w:pPr>
        <w:tabs>
          <w:tab w:val="left" w:pos="1753"/>
        </w:tabs>
        <w:ind w:right="76"/>
        <w:rPr>
          <w:sz w:val="26"/>
        </w:rPr>
      </w:pPr>
      <w:r>
        <w:rPr>
          <w:sz w:val="26"/>
          <w:lang w:val="uk-UA"/>
        </w:rPr>
        <w:t xml:space="preserve">    - </w:t>
      </w:r>
      <w:r>
        <w:rPr>
          <w:sz w:val="26"/>
        </w:rPr>
        <w:t>прогнозованість та ефективність бюджетних видатків, що спрямоване на підвищення якості місцевих послуг;</w:t>
      </w:r>
    </w:p>
    <w:p w:rsidR="0003595A" w:rsidRPr="00DF648A" w:rsidRDefault="0003595A" w:rsidP="0003595A">
      <w:pPr>
        <w:tabs>
          <w:tab w:val="left" w:pos="1753"/>
        </w:tabs>
        <w:ind w:right="76"/>
        <w:rPr>
          <w:sz w:val="26"/>
        </w:rPr>
      </w:pPr>
      <w:r>
        <w:rPr>
          <w:sz w:val="26"/>
          <w:lang w:val="uk-UA"/>
        </w:rPr>
        <w:t xml:space="preserve">    - посилення бюджетної дисципліни і встановлення чітких правил гри, яких будуть дотримуватись  всі учасники бюджетного процесу.</w:t>
      </w:r>
    </w:p>
    <w:p w:rsidR="0003595A" w:rsidRPr="00EB0FEE" w:rsidRDefault="0003595A" w:rsidP="0003595A">
      <w:pPr>
        <w:tabs>
          <w:tab w:val="left" w:pos="1642"/>
        </w:tabs>
        <w:rPr>
          <w:sz w:val="26"/>
          <w:lang w:val="uk-UA"/>
        </w:rPr>
      </w:pPr>
      <w:r>
        <w:rPr>
          <w:sz w:val="26"/>
          <w:lang w:val="uk-UA"/>
        </w:rPr>
        <w:t xml:space="preserve">   - </w:t>
      </w:r>
      <w:r w:rsidRPr="00EB0FEE">
        <w:rPr>
          <w:sz w:val="26"/>
          <w:lang w:val="uk-UA"/>
        </w:rPr>
        <w:t>активізація підприємницького потенціалу, зниження частки тіньової економіки для підвищення податкоспроможності;</w:t>
      </w:r>
    </w:p>
    <w:p w:rsidR="0003595A" w:rsidRDefault="0003595A" w:rsidP="0003595A">
      <w:pPr>
        <w:tabs>
          <w:tab w:val="left" w:pos="1829"/>
        </w:tabs>
        <w:ind w:right="20"/>
        <w:rPr>
          <w:sz w:val="26"/>
        </w:rPr>
      </w:pPr>
      <w:r>
        <w:rPr>
          <w:sz w:val="26"/>
          <w:lang w:val="uk-UA"/>
        </w:rPr>
        <w:t xml:space="preserve">   - </w:t>
      </w:r>
      <w:r>
        <w:rPr>
          <w:sz w:val="26"/>
        </w:rPr>
        <w:t>посилення бюджетної дисципліни та контролю за витратами бюджету;</w:t>
      </w:r>
    </w:p>
    <w:p w:rsidR="0003595A" w:rsidRDefault="0003595A" w:rsidP="0003595A">
      <w:pPr>
        <w:tabs>
          <w:tab w:val="left" w:pos="1674"/>
        </w:tabs>
        <w:rPr>
          <w:sz w:val="26"/>
        </w:rPr>
      </w:pPr>
      <w:r>
        <w:rPr>
          <w:sz w:val="26"/>
          <w:lang w:val="uk-UA"/>
        </w:rPr>
        <w:t xml:space="preserve">    - </w:t>
      </w:r>
      <w:r>
        <w:rPr>
          <w:sz w:val="26"/>
        </w:rPr>
        <w:t>забезпечення фінансування інвестиційних проектів (програм), що мають термін реалізації більше одного року;</w:t>
      </w:r>
    </w:p>
    <w:p w:rsidR="0003595A" w:rsidRDefault="0003595A" w:rsidP="0003595A">
      <w:pPr>
        <w:tabs>
          <w:tab w:val="left" w:pos="1660"/>
        </w:tabs>
        <w:rPr>
          <w:sz w:val="26"/>
        </w:rPr>
      </w:pPr>
      <w:r>
        <w:rPr>
          <w:sz w:val="26"/>
          <w:lang w:val="uk-UA"/>
        </w:rPr>
        <w:t xml:space="preserve">   - </w:t>
      </w:r>
      <w:r>
        <w:rPr>
          <w:sz w:val="26"/>
        </w:rPr>
        <w:t>запровадження дієвих заходів з енергозбереження;</w:t>
      </w:r>
    </w:p>
    <w:p w:rsidR="0003595A" w:rsidRDefault="0003595A" w:rsidP="0003595A">
      <w:pPr>
        <w:rPr>
          <w:sz w:val="26"/>
        </w:rPr>
      </w:pPr>
      <w:r>
        <w:rPr>
          <w:sz w:val="26"/>
          <w:lang w:val="uk-UA"/>
        </w:rPr>
        <w:t xml:space="preserve">    - </w:t>
      </w:r>
      <w:r>
        <w:rPr>
          <w:sz w:val="26"/>
        </w:rPr>
        <w:t>покращення добробуту та якості життя населення.</w:t>
      </w:r>
    </w:p>
    <w:p w:rsidR="0003595A" w:rsidRDefault="0003595A" w:rsidP="0003595A">
      <w:pPr>
        <w:jc w:val="both"/>
        <w:rPr>
          <w:sz w:val="26"/>
        </w:rPr>
      </w:pPr>
      <w:r>
        <w:rPr>
          <w:sz w:val="26"/>
          <w:lang w:val="uk-UA"/>
        </w:rPr>
        <w:lastRenderedPageBreak/>
        <w:t xml:space="preserve">     </w:t>
      </w:r>
      <w:r>
        <w:rPr>
          <w:sz w:val="26"/>
        </w:rPr>
        <w:t>Прогноз ґрунтується на принципах збалансованості, обґрунтованості, ефективності та результативності бюджетної системи. Прогноз розроблений на основі положень Бюджетного кодексу України, Податкового кодексу України</w:t>
      </w:r>
      <w:r>
        <w:rPr>
          <w:sz w:val="26"/>
          <w:lang w:val="uk-UA"/>
        </w:rPr>
        <w:t xml:space="preserve"> із змінами</w:t>
      </w:r>
      <w:r>
        <w:rPr>
          <w:sz w:val="26"/>
        </w:rPr>
        <w:t>, постанов Кабінету Міністрів України, рекомендацій Міністерства фінансів України щодо складання проектів місцевих бюджетів на середньострокову перспективу, основних показників економічного і соціального розвитку об’єднаної територіальної громади, місцевих цільових програм, проекту с</w:t>
      </w:r>
      <w:r>
        <w:rPr>
          <w:sz w:val="26"/>
          <w:lang w:val="uk-UA"/>
        </w:rPr>
        <w:t>ільського</w:t>
      </w:r>
      <w:r>
        <w:rPr>
          <w:sz w:val="26"/>
        </w:rPr>
        <w:t xml:space="preserve"> бюджету на 202</w:t>
      </w:r>
      <w:r>
        <w:rPr>
          <w:sz w:val="26"/>
          <w:lang w:val="uk-UA"/>
        </w:rPr>
        <w:t>1</w:t>
      </w:r>
      <w:r>
        <w:rPr>
          <w:sz w:val="26"/>
        </w:rPr>
        <w:t xml:space="preserve"> рік.</w:t>
      </w:r>
    </w:p>
    <w:p w:rsidR="0003595A" w:rsidRDefault="0003595A" w:rsidP="0003595A">
      <w:pPr>
        <w:ind w:right="20"/>
        <w:jc w:val="both"/>
        <w:rPr>
          <w:sz w:val="26"/>
          <w:lang w:val="uk-UA"/>
        </w:rPr>
      </w:pPr>
      <w:r>
        <w:rPr>
          <w:sz w:val="26"/>
          <w:lang w:val="uk-UA"/>
        </w:rPr>
        <w:t xml:space="preserve">      </w:t>
      </w:r>
      <w:r>
        <w:rPr>
          <w:sz w:val="26"/>
        </w:rPr>
        <w:t>Прогноз економічного і соціального розвитку України на 202</w:t>
      </w:r>
      <w:r>
        <w:rPr>
          <w:sz w:val="26"/>
          <w:lang w:val="uk-UA"/>
        </w:rPr>
        <w:t>1</w:t>
      </w:r>
      <w:r>
        <w:rPr>
          <w:sz w:val="26"/>
        </w:rPr>
        <w:t>-202</w:t>
      </w:r>
      <w:r>
        <w:rPr>
          <w:sz w:val="26"/>
          <w:lang w:val="uk-UA"/>
        </w:rPr>
        <w:t>3</w:t>
      </w:r>
      <w:r>
        <w:rPr>
          <w:sz w:val="26"/>
        </w:rPr>
        <w:t xml:space="preserve"> роки, затверджений постановою КМУ </w:t>
      </w:r>
      <w:r w:rsidRPr="00CF71BA">
        <w:rPr>
          <w:sz w:val="26"/>
        </w:rPr>
        <w:t xml:space="preserve">від </w:t>
      </w:r>
      <w:r w:rsidRPr="00CF71BA">
        <w:rPr>
          <w:sz w:val="26"/>
          <w:lang w:val="uk-UA"/>
        </w:rPr>
        <w:t>29 липня</w:t>
      </w:r>
      <w:r w:rsidRPr="00CF71BA">
        <w:rPr>
          <w:sz w:val="26"/>
        </w:rPr>
        <w:t xml:space="preserve"> 20</w:t>
      </w:r>
      <w:r w:rsidRPr="00CF71BA">
        <w:rPr>
          <w:sz w:val="26"/>
          <w:lang w:val="uk-UA"/>
        </w:rPr>
        <w:t>20</w:t>
      </w:r>
      <w:r w:rsidRPr="00CF71BA">
        <w:rPr>
          <w:sz w:val="26"/>
        </w:rPr>
        <w:t xml:space="preserve"> року № </w:t>
      </w:r>
      <w:r w:rsidRPr="00CF71BA">
        <w:rPr>
          <w:sz w:val="26"/>
          <w:lang w:val="uk-UA"/>
        </w:rPr>
        <w:t>671</w:t>
      </w:r>
      <w:r w:rsidRPr="00CF71BA">
        <w:rPr>
          <w:sz w:val="26"/>
        </w:rPr>
        <w:t>,</w:t>
      </w:r>
      <w:r>
        <w:rPr>
          <w:sz w:val="26"/>
        </w:rPr>
        <w:t xml:space="preserve"> передбачає </w:t>
      </w:r>
      <w:r>
        <w:rPr>
          <w:sz w:val="26"/>
          <w:lang w:val="uk-UA"/>
        </w:rPr>
        <w:t xml:space="preserve">зменшення </w:t>
      </w:r>
      <w:r>
        <w:rPr>
          <w:sz w:val="26"/>
        </w:rPr>
        <w:t>р</w:t>
      </w:r>
      <w:r>
        <w:rPr>
          <w:sz w:val="26"/>
          <w:lang w:val="uk-UA"/>
        </w:rPr>
        <w:t>о</w:t>
      </w:r>
      <w:r>
        <w:rPr>
          <w:sz w:val="26"/>
        </w:rPr>
        <w:t>ст</w:t>
      </w:r>
      <w:r>
        <w:rPr>
          <w:sz w:val="26"/>
          <w:lang w:val="uk-UA"/>
        </w:rPr>
        <w:t>у</w:t>
      </w:r>
      <w:r>
        <w:rPr>
          <w:sz w:val="26"/>
        </w:rPr>
        <w:t xml:space="preserve"> індексу споживчих цін </w:t>
      </w:r>
      <w:r>
        <w:rPr>
          <w:sz w:val="26"/>
          <w:lang w:val="uk-UA"/>
        </w:rPr>
        <w:t>із</w:t>
      </w:r>
      <w:r>
        <w:rPr>
          <w:sz w:val="26"/>
        </w:rPr>
        <w:t xml:space="preserve"> 107,</w:t>
      </w:r>
      <w:r>
        <w:rPr>
          <w:sz w:val="26"/>
          <w:lang w:val="uk-UA"/>
        </w:rPr>
        <w:t xml:space="preserve">3 у 2021 році до </w:t>
      </w:r>
      <w:r>
        <w:rPr>
          <w:sz w:val="26"/>
        </w:rPr>
        <w:t>10</w:t>
      </w:r>
      <w:r>
        <w:rPr>
          <w:sz w:val="26"/>
          <w:lang w:val="uk-UA"/>
        </w:rPr>
        <w:t>5,3</w:t>
      </w:r>
      <w:r>
        <w:rPr>
          <w:sz w:val="26"/>
        </w:rPr>
        <w:t xml:space="preserve"> відсотка у 202</w:t>
      </w:r>
      <w:r>
        <w:rPr>
          <w:sz w:val="26"/>
          <w:lang w:val="uk-UA"/>
        </w:rPr>
        <w:t>3</w:t>
      </w:r>
      <w:r>
        <w:rPr>
          <w:sz w:val="26"/>
        </w:rPr>
        <w:t xml:space="preserve"> році</w:t>
      </w:r>
    </w:p>
    <w:p w:rsidR="0003595A" w:rsidRDefault="0003595A" w:rsidP="0003595A">
      <w:pPr>
        <w:ind w:right="20"/>
        <w:jc w:val="both"/>
        <w:rPr>
          <w:sz w:val="26"/>
        </w:rPr>
      </w:pPr>
      <w:r>
        <w:rPr>
          <w:sz w:val="26"/>
          <w:lang w:val="uk-UA"/>
        </w:rPr>
        <w:t xml:space="preserve">       </w:t>
      </w:r>
      <w:r>
        <w:rPr>
          <w:sz w:val="26"/>
        </w:rPr>
        <w:t>Відповідно до ст.7 проекту Закону про держбюджет на 202</w:t>
      </w:r>
      <w:r>
        <w:rPr>
          <w:sz w:val="26"/>
          <w:lang w:val="uk-UA"/>
        </w:rPr>
        <w:t>1</w:t>
      </w:r>
      <w:r>
        <w:rPr>
          <w:sz w:val="26"/>
        </w:rPr>
        <w:t xml:space="preserve"> рік розмір прожиткового мінімуму на одну </w:t>
      </w:r>
      <w:r>
        <w:rPr>
          <w:sz w:val="26"/>
          <w:lang w:val="uk-UA"/>
        </w:rPr>
        <w:t xml:space="preserve">працездатну </w:t>
      </w:r>
      <w:r>
        <w:rPr>
          <w:sz w:val="26"/>
        </w:rPr>
        <w:t>особу в розрахунку на місяць планується в розмірі з 1 січня 202</w:t>
      </w:r>
      <w:r>
        <w:rPr>
          <w:sz w:val="26"/>
          <w:lang w:val="uk-UA"/>
        </w:rPr>
        <w:t>1</w:t>
      </w:r>
      <w:r>
        <w:rPr>
          <w:sz w:val="26"/>
        </w:rPr>
        <w:t xml:space="preserve"> року — 2</w:t>
      </w:r>
      <w:r>
        <w:rPr>
          <w:sz w:val="26"/>
          <w:lang w:val="uk-UA"/>
        </w:rPr>
        <w:t>270</w:t>
      </w:r>
      <w:r>
        <w:rPr>
          <w:sz w:val="26"/>
        </w:rPr>
        <w:t xml:space="preserve"> гривень, з 1 липня — 2</w:t>
      </w:r>
      <w:r>
        <w:rPr>
          <w:sz w:val="26"/>
          <w:lang w:val="uk-UA"/>
        </w:rPr>
        <w:t>379</w:t>
      </w:r>
      <w:r>
        <w:rPr>
          <w:sz w:val="26"/>
        </w:rPr>
        <w:t xml:space="preserve"> гривень, з 1 грудня — 2</w:t>
      </w:r>
      <w:r>
        <w:rPr>
          <w:sz w:val="26"/>
          <w:lang w:val="uk-UA"/>
        </w:rPr>
        <w:t>481</w:t>
      </w:r>
      <w:r>
        <w:rPr>
          <w:sz w:val="26"/>
        </w:rPr>
        <w:t xml:space="preserve"> гривень.</w:t>
      </w:r>
    </w:p>
    <w:p w:rsidR="0003595A" w:rsidRDefault="0003595A" w:rsidP="0003595A">
      <w:pPr>
        <w:ind w:right="20"/>
        <w:jc w:val="both"/>
        <w:rPr>
          <w:sz w:val="26"/>
        </w:rPr>
      </w:pPr>
      <w:r>
        <w:rPr>
          <w:sz w:val="26"/>
          <w:lang w:val="uk-UA"/>
        </w:rPr>
        <w:t xml:space="preserve">      </w:t>
      </w:r>
      <w:r>
        <w:rPr>
          <w:sz w:val="26"/>
        </w:rPr>
        <w:t>Згідно ст. 8 проекту Закону про держбюджет на 202</w:t>
      </w:r>
      <w:r>
        <w:rPr>
          <w:sz w:val="26"/>
          <w:lang w:val="uk-UA"/>
        </w:rPr>
        <w:t>1</w:t>
      </w:r>
      <w:r>
        <w:rPr>
          <w:sz w:val="26"/>
        </w:rPr>
        <w:t xml:space="preserve"> рік мінімальна заробітна плата становитиме </w:t>
      </w:r>
      <w:r>
        <w:rPr>
          <w:sz w:val="26"/>
          <w:lang w:val="uk-UA"/>
        </w:rPr>
        <w:t>з 1 січня 2021 року 6000</w:t>
      </w:r>
      <w:r>
        <w:rPr>
          <w:sz w:val="26"/>
        </w:rPr>
        <w:t xml:space="preserve"> гривень</w:t>
      </w:r>
      <w:r>
        <w:rPr>
          <w:sz w:val="26"/>
          <w:lang w:val="uk-UA"/>
        </w:rPr>
        <w:t>, з 1 липня 6500 гривень</w:t>
      </w:r>
      <w:r>
        <w:rPr>
          <w:sz w:val="26"/>
        </w:rPr>
        <w:t>.</w:t>
      </w:r>
    </w:p>
    <w:p w:rsidR="0003595A" w:rsidRDefault="0003595A" w:rsidP="0003595A">
      <w:pPr>
        <w:ind w:right="40"/>
        <w:jc w:val="both"/>
        <w:rPr>
          <w:sz w:val="26"/>
        </w:rPr>
      </w:pPr>
      <w:r>
        <w:rPr>
          <w:sz w:val="26"/>
          <w:lang w:val="uk-UA"/>
        </w:rPr>
        <w:t xml:space="preserve">      </w:t>
      </w:r>
      <w:r>
        <w:rPr>
          <w:sz w:val="26"/>
        </w:rPr>
        <w:t>Бюджетна і податкова політика на місцевому рівні у середньостроковій перспективі має бути спрямована на вирішення наступних основних завдань:</w:t>
      </w:r>
    </w:p>
    <w:p w:rsidR="0003595A" w:rsidRPr="009F1E80" w:rsidRDefault="0003595A" w:rsidP="0003595A">
      <w:pPr>
        <w:ind w:right="20"/>
        <w:jc w:val="both"/>
        <w:rPr>
          <w:sz w:val="26"/>
          <w:lang w:val="uk-UA"/>
        </w:rPr>
      </w:pPr>
      <w:r>
        <w:rPr>
          <w:sz w:val="26"/>
          <w:lang w:val="uk-UA"/>
        </w:rPr>
        <w:t xml:space="preserve">      </w:t>
      </w:r>
      <w:r w:rsidRPr="009F1E80">
        <w:rPr>
          <w:sz w:val="26"/>
          <w:lang w:val="uk-UA"/>
        </w:rPr>
        <w:t>підвищення фінансової спроможності с</w:t>
      </w:r>
      <w:r>
        <w:rPr>
          <w:sz w:val="26"/>
          <w:lang w:val="uk-UA"/>
        </w:rPr>
        <w:t>ільського</w:t>
      </w:r>
      <w:r w:rsidRPr="009F1E80">
        <w:rPr>
          <w:sz w:val="26"/>
          <w:lang w:val="uk-UA"/>
        </w:rPr>
        <w:t xml:space="preserve"> бюджету та забезпечення на цій основі підвищення рівня життя мешканців громади і економічного розвитку громади;</w:t>
      </w:r>
    </w:p>
    <w:p w:rsidR="0003595A" w:rsidRPr="009F1E80" w:rsidRDefault="0003595A" w:rsidP="0003595A">
      <w:pPr>
        <w:ind w:right="40"/>
        <w:jc w:val="both"/>
        <w:rPr>
          <w:sz w:val="26"/>
          <w:lang w:val="uk-UA"/>
        </w:rPr>
      </w:pPr>
      <w:r>
        <w:rPr>
          <w:sz w:val="26"/>
          <w:lang w:val="uk-UA"/>
        </w:rPr>
        <w:t xml:space="preserve">      </w:t>
      </w:r>
      <w:r w:rsidRPr="009F1E80">
        <w:rPr>
          <w:sz w:val="26"/>
          <w:lang w:val="uk-UA"/>
        </w:rPr>
        <w:t xml:space="preserve">мінімізації ухилення від сплати податків, в тому числі за рахунок збільшення ролі органів місцевого самоврядування у контролі за дотриманням законодавства про працю суб’єктами господарювання та недопущення зростання недоїмки до </w:t>
      </w:r>
      <w:r>
        <w:rPr>
          <w:sz w:val="26"/>
          <w:lang w:val="uk-UA"/>
        </w:rPr>
        <w:t xml:space="preserve">сільського </w:t>
      </w:r>
      <w:r w:rsidRPr="009F1E80">
        <w:rPr>
          <w:sz w:val="26"/>
          <w:lang w:val="uk-UA"/>
        </w:rPr>
        <w:t>бюджету;</w:t>
      </w:r>
    </w:p>
    <w:p w:rsidR="0003595A" w:rsidRPr="00C64F73" w:rsidRDefault="0003595A" w:rsidP="0003595A">
      <w:pPr>
        <w:ind w:right="40"/>
        <w:jc w:val="both"/>
        <w:rPr>
          <w:sz w:val="26"/>
          <w:lang w:val="uk-UA"/>
        </w:rPr>
      </w:pPr>
      <w:r>
        <w:rPr>
          <w:sz w:val="26"/>
          <w:lang w:val="uk-UA"/>
        </w:rPr>
        <w:t xml:space="preserve">     </w:t>
      </w:r>
      <w:r w:rsidRPr="009F1E80">
        <w:rPr>
          <w:sz w:val="26"/>
          <w:lang w:val="uk-UA"/>
        </w:rPr>
        <w:t>забезпечення у ході затвердження та виконання с</w:t>
      </w:r>
      <w:r>
        <w:rPr>
          <w:sz w:val="26"/>
          <w:lang w:val="uk-UA"/>
        </w:rPr>
        <w:t>ільського</w:t>
      </w:r>
      <w:r w:rsidRPr="009F1E80">
        <w:rPr>
          <w:sz w:val="26"/>
          <w:lang w:val="uk-UA"/>
        </w:rPr>
        <w:t xml:space="preserve"> бюджету збалансованої бюджетної політики, концентрації фінансових ресурсів на пріоритетних напрямах розвитку громади, урахування в показниках бюджетів у повному обсязі потреби в коштах для здійснення соціальних виплат та розрахунків заенергон</w:t>
      </w:r>
      <w:r>
        <w:rPr>
          <w:sz w:val="26"/>
          <w:lang w:val="uk-UA"/>
        </w:rPr>
        <w:t>о</w:t>
      </w:r>
      <w:r w:rsidRPr="009F1E80">
        <w:rPr>
          <w:sz w:val="26"/>
          <w:lang w:val="uk-UA"/>
        </w:rPr>
        <w:t>сії, недопущення утворення бюджетної</w:t>
      </w:r>
      <w:r>
        <w:rPr>
          <w:sz w:val="26"/>
          <w:lang w:val="uk-UA"/>
        </w:rPr>
        <w:t xml:space="preserve"> заборгованості за основними соціальними виплатами  та витратами  на оплату енергоносіїв та комунальних послуг.</w:t>
      </w:r>
    </w:p>
    <w:p w:rsidR="0003595A" w:rsidRPr="009521D7" w:rsidRDefault="0003595A" w:rsidP="0003595A">
      <w:pPr>
        <w:ind w:right="200"/>
        <w:jc w:val="both"/>
        <w:rPr>
          <w:sz w:val="26"/>
          <w:lang w:val="uk-UA"/>
        </w:rPr>
      </w:pPr>
      <w:r>
        <w:rPr>
          <w:sz w:val="26"/>
          <w:lang w:val="uk-UA"/>
        </w:rPr>
        <w:t xml:space="preserve">       </w:t>
      </w:r>
      <w:r w:rsidRPr="009521D7">
        <w:rPr>
          <w:sz w:val="26"/>
          <w:lang w:val="uk-UA"/>
        </w:rPr>
        <w:t>підвищення ефективності видатків с</w:t>
      </w:r>
      <w:r>
        <w:rPr>
          <w:sz w:val="26"/>
          <w:lang w:val="uk-UA"/>
        </w:rPr>
        <w:t>ільського</w:t>
      </w:r>
      <w:r w:rsidRPr="009521D7">
        <w:rPr>
          <w:sz w:val="26"/>
          <w:lang w:val="uk-UA"/>
        </w:rPr>
        <w:t xml:space="preserve"> бюджету шляхом забезпечення дотримання вимог чинного бюджетного законодавства учасниками бюджетного процесу на всіх його стадіях, посилення фінансової дисципліни при використанні коштів місцевих бюджетів, збільшення прозорості формування та виконання бюджету, проведення постійного моніторингу показників ефективності витрат, кількісних та якісних показників здійснення видатків місцевих бюджетів;</w:t>
      </w:r>
    </w:p>
    <w:p w:rsidR="0003595A" w:rsidRPr="009521D7" w:rsidRDefault="0003595A" w:rsidP="0003595A">
      <w:pPr>
        <w:ind w:right="220"/>
        <w:jc w:val="both"/>
        <w:rPr>
          <w:sz w:val="26"/>
          <w:lang w:val="uk-UA"/>
        </w:rPr>
      </w:pPr>
      <w:r>
        <w:rPr>
          <w:sz w:val="26"/>
          <w:lang w:val="uk-UA"/>
        </w:rPr>
        <w:t xml:space="preserve">      </w:t>
      </w:r>
      <w:r w:rsidRPr="009521D7">
        <w:rPr>
          <w:sz w:val="26"/>
          <w:lang w:val="uk-UA"/>
        </w:rPr>
        <w:t>забезпечення складання с</w:t>
      </w:r>
      <w:r>
        <w:rPr>
          <w:sz w:val="26"/>
          <w:lang w:val="uk-UA"/>
        </w:rPr>
        <w:t>ільського</w:t>
      </w:r>
      <w:r w:rsidRPr="009521D7">
        <w:rPr>
          <w:sz w:val="26"/>
          <w:lang w:val="uk-UA"/>
        </w:rPr>
        <w:t xml:space="preserve"> бюджету на програмно-цільове бюджетування, підвищення на цій основі рівня обґрунтованості бюджетного планування на місцевому рівні.</w:t>
      </w:r>
    </w:p>
    <w:p w:rsidR="0003595A" w:rsidRPr="009521D7" w:rsidRDefault="0003595A" w:rsidP="0003595A">
      <w:pPr>
        <w:ind w:right="220"/>
        <w:jc w:val="both"/>
        <w:rPr>
          <w:sz w:val="26"/>
          <w:lang w:val="uk-UA"/>
        </w:rPr>
      </w:pPr>
      <w:r>
        <w:rPr>
          <w:sz w:val="26"/>
          <w:lang w:val="uk-UA"/>
        </w:rPr>
        <w:t xml:space="preserve">       </w:t>
      </w:r>
      <w:r w:rsidRPr="009521D7">
        <w:rPr>
          <w:sz w:val="26"/>
          <w:lang w:val="uk-UA"/>
        </w:rPr>
        <w:t>Бюджетна політика на період до 202</w:t>
      </w:r>
      <w:r>
        <w:rPr>
          <w:sz w:val="26"/>
          <w:lang w:val="uk-UA"/>
        </w:rPr>
        <w:t>3</w:t>
      </w:r>
      <w:r w:rsidRPr="009521D7">
        <w:rPr>
          <w:sz w:val="26"/>
          <w:lang w:val="uk-UA"/>
        </w:rPr>
        <w:t xml:space="preserve"> року в громаді спрямовуватиметься, у першу чергу, на забезпечення стабільності фінансування соціальних витрат, пов’язаних з виплатою заробітної плати працівникам бюджетної сфери, реалізацією соціальних гарантій і соціального захисту вразливих верств населення, забезпечення гідних умов життєдіяльності для кожного громадянина.</w:t>
      </w:r>
    </w:p>
    <w:p w:rsidR="0003595A" w:rsidRPr="009521D7" w:rsidRDefault="0003595A" w:rsidP="0003595A">
      <w:pPr>
        <w:ind w:right="220"/>
        <w:jc w:val="both"/>
        <w:rPr>
          <w:sz w:val="26"/>
          <w:lang w:val="uk-UA"/>
        </w:rPr>
      </w:pPr>
      <w:r>
        <w:rPr>
          <w:sz w:val="26"/>
          <w:lang w:val="uk-UA"/>
        </w:rPr>
        <w:lastRenderedPageBreak/>
        <w:t xml:space="preserve">       </w:t>
      </w:r>
      <w:r w:rsidRPr="009521D7">
        <w:rPr>
          <w:sz w:val="26"/>
          <w:lang w:val="uk-UA"/>
        </w:rPr>
        <w:t>Одним з основних завдань бюджетної політики на 202</w:t>
      </w:r>
      <w:r>
        <w:rPr>
          <w:sz w:val="26"/>
          <w:lang w:val="uk-UA"/>
        </w:rPr>
        <w:t>1</w:t>
      </w:r>
      <w:r w:rsidRPr="009521D7">
        <w:rPr>
          <w:sz w:val="26"/>
          <w:lang w:val="uk-UA"/>
        </w:rPr>
        <w:t>-202</w:t>
      </w:r>
      <w:r>
        <w:rPr>
          <w:sz w:val="26"/>
          <w:lang w:val="uk-UA"/>
        </w:rPr>
        <w:t>3</w:t>
      </w:r>
      <w:r w:rsidRPr="009521D7">
        <w:rPr>
          <w:sz w:val="26"/>
          <w:lang w:val="uk-UA"/>
        </w:rPr>
        <w:t xml:space="preserve"> роки в умовах реформування бюджетної сфери є забезпечення упорядкування та оптимізації місцевих цільових програм шляхом концентрації бюджетних видатків на пріоритетних напрямах розвитку економіки та соціальної сфери, недопущення необгрунтованого збільшення чисельності працівників бюджетної сфери, забезпечення дотримання вимог чинного бюджетного законодавства учасниками бюджетного процесу на всіх його стадіях.</w:t>
      </w:r>
    </w:p>
    <w:p w:rsidR="0003595A" w:rsidRDefault="0003595A" w:rsidP="0003595A">
      <w:pPr>
        <w:ind w:right="-179"/>
        <w:jc w:val="center"/>
        <w:rPr>
          <w:b/>
          <w:sz w:val="22"/>
          <w:lang w:val="uk-UA"/>
        </w:rPr>
      </w:pPr>
    </w:p>
    <w:p w:rsidR="0003595A" w:rsidRDefault="0003595A" w:rsidP="0003595A">
      <w:pPr>
        <w:ind w:right="-179"/>
        <w:jc w:val="center"/>
        <w:rPr>
          <w:b/>
          <w:sz w:val="22"/>
        </w:rPr>
      </w:pPr>
      <w:r>
        <w:rPr>
          <w:b/>
          <w:sz w:val="22"/>
        </w:rPr>
        <w:t xml:space="preserve">Індикативні </w:t>
      </w:r>
      <w:r>
        <w:rPr>
          <w:b/>
          <w:sz w:val="22"/>
          <w:lang w:val="uk-UA"/>
        </w:rPr>
        <w:t xml:space="preserve">прогнозні показники сільського </w:t>
      </w:r>
      <w:r>
        <w:rPr>
          <w:b/>
          <w:sz w:val="22"/>
        </w:rPr>
        <w:t>бюджету</w:t>
      </w:r>
    </w:p>
    <w:p w:rsidR="0003595A" w:rsidRDefault="0003595A" w:rsidP="0003595A">
      <w:pPr>
        <w:ind w:right="-239"/>
        <w:jc w:val="center"/>
        <w:rPr>
          <w:b/>
          <w:sz w:val="22"/>
          <w:lang w:val="uk-UA"/>
        </w:rPr>
      </w:pPr>
      <w:r>
        <w:rPr>
          <w:b/>
          <w:sz w:val="22"/>
        </w:rPr>
        <w:t>на 202</w:t>
      </w:r>
      <w:r>
        <w:rPr>
          <w:b/>
          <w:sz w:val="22"/>
          <w:lang w:val="uk-UA"/>
        </w:rPr>
        <w:t>1</w:t>
      </w:r>
      <w:r>
        <w:rPr>
          <w:b/>
          <w:sz w:val="22"/>
        </w:rPr>
        <w:t>-202</w:t>
      </w:r>
      <w:r>
        <w:rPr>
          <w:b/>
          <w:sz w:val="22"/>
          <w:lang w:val="uk-UA"/>
        </w:rPr>
        <w:t>3</w:t>
      </w:r>
      <w:r>
        <w:rPr>
          <w:b/>
          <w:sz w:val="22"/>
        </w:rPr>
        <w:t xml:space="preserve"> </w:t>
      </w:r>
      <w:r>
        <w:rPr>
          <w:b/>
          <w:sz w:val="22"/>
          <w:lang w:val="uk-UA"/>
        </w:rPr>
        <w:t>р</w:t>
      </w:r>
      <w:r>
        <w:rPr>
          <w:b/>
          <w:sz w:val="22"/>
        </w:rPr>
        <w:t>оки</w:t>
      </w:r>
    </w:p>
    <w:p w:rsidR="0003595A" w:rsidRDefault="0003595A" w:rsidP="0003595A">
      <w:pPr>
        <w:ind w:right="-239"/>
        <w:jc w:val="center"/>
        <w:rPr>
          <w:b/>
          <w:sz w:val="22"/>
          <w:lang w:val="uk-UA"/>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1371"/>
        <w:gridCol w:w="1430"/>
        <w:gridCol w:w="1385"/>
        <w:gridCol w:w="1474"/>
        <w:gridCol w:w="1251"/>
      </w:tblGrid>
      <w:tr w:rsidR="0003595A" w:rsidTr="001500A1">
        <w:tc>
          <w:tcPr>
            <w:tcW w:w="2485" w:type="dxa"/>
          </w:tcPr>
          <w:p w:rsidR="0003595A" w:rsidRDefault="0003595A" w:rsidP="001500A1">
            <w:pPr>
              <w:ind w:right="-239"/>
              <w:jc w:val="both"/>
              <w:rPr>
                <w:b/>
                <w:sz w:val="22"/>
                <w:lang w:val="uk-UA"/>
              </w:rPr>
            </w:pPr>
          </w:p>
          <w:p w:rsidR="0003595A" w:rsidRDefault="0003595A" w:rsidP="001500A1">
            <w:pPr>
              <w:ind w:right="-239"/>
              <w:jc w:val="both"/>
              <w:rPr>
                <w:b/>
                <w:sz w:val="22"/>
                <w:lang w:val="uk-UA"/>
              </w:rPr>
            </w:pPr>
          </w:p>
        </w:tc>
        <w:tc>
          <w:tcPr>
            <w:tcW w:w="1371" w:type="dxa"/>
            <w:vAlign w:val="center"/>
          </w:tcPr>
          <w:p w:rsidR="0003595A" w:rsidRPr="002F44AE" w:rsidRDefault="0003595A" w:rsidP="001500A1">
            <w:pPr>
              <w:ind w:right="90"/>
              <w:rPr>
                <w:sz w:val="22"/>
                <w:lang w:val="uk-UA"/>
              </w:rPr>
            </w:pPr>
            <w:r w:rsidRPr="002F44AE">
              <w:rPr>
                <w:sz w:val="22"/>
                <w:lang w:val="uk-UA"/>
              </w:rPr>
              <w:t>202</w:t>
            </w:r>
            <w:r>
              <w:rPr>
                <w:sz w:val="22"/>
                <w:lang w:val="uk-UA"/>
              </w:rPr>
              <w:t>1</w:t>
            </w:r>
            <w:r w:rsidRPr="002F44AE">
              <w:rPr>
                <w:sz w:val="22"/>
                <w:lang w:val="uk-UA"/>
              </w:rPr>
              <w:t xml:space="preserve"> рік тис.грн.</w:t>
            </w:r>
          </w:p>
        </w:tc>
        <w:tc>
          <w:tcPr>
            <w:tcW w:w="1430" w:type="dxa"/>
            <w:vAlign w:val="center"/>
          </w:tcPr>
          <w:p w:rsidR="0003595A" w:rsidRPr="002F44AE" w:rsidRDefault="0003595A" w:rsidP="001500A1">
            <w:pPr>
              <w:ind w:right="-239"/>
              <w:rPr>
                <w:sz w:val="22"/>
                <w:lang w:val="uk-UA"/>
              </w:rPr>
            </w:pPr>
            <w:r w:rsidRPr="002F44AE">
              <w:rPr>
                <w:sz w:val="22"/>
                <w:lang w:val="uk-UA"/>
              </w:rPr>
              <w:t>202</w:t>
            </w:r>
            <w:r>
              <w:rPr>
                <w:sz w:val="22"/>
                <w:lang w:val="uk-UA"/>
              </w:rPr>
              <w:t>2</w:t>
            </w:r>
            <w:r w:rsidRPr="002F44AE">
              <w:rPr>
                <w:sz w:val="22"/>
                <w:lang w:val="uk-UA"/>
              </w:rPr>
              <w:t xml:space="preserve"> рік</w:t>
            </w:r>
          </w:p>
          <w:p w:rsidR="0003595A" w:rsidRPr="002F44AE" w:rsidRDefault="0003595A" w:rsidP="001500A1">
            <w:pPr>
              <w:ind w:right="-239"/>
              <w:rPr>
                <w:sz w:val="22"/>
                <w:lang w:val="uk-UA"/>
              </w:rPr>
            </w:pPr>
            <w:r w:rsidRPr="002F44AE">
              <w:rPr>
                <w:sz w:val="22"/>
                <w:lang w:val="uk-UA"/>
              </w:rPr>
              <w:t>тис.грн.</w:t>
            </w:r>
          </w:p>
        </w:tc>
        <w:tc>
          <w:tcPr>
            <w:tcW w:w="1385" w:type="dxa"/>
            <w:vAlign w:val="center"/>
          </w:tcPr>
          <w:p w:rsidR="0003595A" w:rsidRPr="002F44AE" w:rsidRDefault="0003595A" w:rsidP="001500A1">
            <w:pPr>
              <w:ind w:right="-239"/>
              <w:rPr>
                <w:sz w:val="22"/>
                <w:lang w:val="uk-UA"/>
              </w:rPr>
            </w:pPr>
            <w:r w:rsidRPr="002F44AE">
              <w:rPr>
                <w:sz w:val="22"/>
                <w:lang w:val="uk-UA"/>
              </w:rPr>
              <w:t>у % до</w:t>
            </w:r>
          </w:p>
          <w:p w:rsidR="0003595A" w:rsidRPr="002F44AE" w:rsidRDefault="0003595A" w:rsidP="001500A1">
            <w:pPr>
              <w:ind w:right="-239"/>
              <w:rPr>
                <w:sz w:val="22"/>
                <w:lang w:val="uk-UA"/>
              </w:rPr>
            </w:pPr>
            <w:r w:rsidRPr="002F44AE">
              <w:rPr>
                <w:sz w:val="22"/>
                <w:lang w:val="uk-UA"/>
              </w:rPr>
              <w:t>202</w:t>
            </w:r>
            <w:r>
              <w:rPr>
                <w:sz w:val="22"/>
                <w:lang w:val="uk-UA"/>
              </w:rPr>
              <w:t>1</w:t>
            </w:r>
            <w:r w:rsidRPr="002F44AE">
              <w:rPr>
                <w:sz w:val="22"/>
                <w:lang w:val="uk-UA"/>
              </w:rPr>
              <w:t xml:space="preserve">  року</w:t>
            </w:r>
          </w:p>
        </w:tc>
        <w:tc>
          <w:tcPr>
            <w:tcW w:w="1474" w:type="dxa"/>
            <w:vAlign w:val="center"/>
          </w:tcPr>
          <w:p w:rsidR="0003595A" w:rsidRPr="002F44AE" w:rsidRDefault="0003595A" w:rsidP="001500A1">
            <w:pPr>
              <w:ind w:right="-239"/>
              <w:rPr>
                <w:sz w:val="22"/>
                <w:lang w:val="uk-UA"/>
              </w:rPr>
            </w:pPr>
            <w:r w:rsidRPr="002F44AE">
              <w:rPr>
                <w:sz w:val="22"/>
                <w:lang w:val="uk-UA"/>
              </w:rPr>
              <w:t>202</w:t>
            </w:r>
            <w:r>
              <w:rPr>
                <w:sz w:val="22"/>
                <w:lang w:val="uk-UA"/>
              </w:rPr>
              <w:t>3</w:t>
            </w:r>
            <w:r w:rsidRPr="002F44AE">
              <w:rPr>
                <w:sz w:val="22"/>
                <w:lang w:val="uk-UA"/>
              </w:rPr>
              <w:t xml:space="preserve"> рік</w:t>
            </w:r>
          </w:p>
          <w:p w:rsidR="0003595A" w:rsidRPr="002F44AE" w:rsidRDefault="0003595A" w:rsidP="001500A1">
            <w:pPr>
              <w:ind w:right="-239"/>
              <w:rPr>
                <w:sz w:val="22"/>
                <w:lang w:val="uk-UA"/>
              </w:rPr>
            </w:pPr>
            <w:r w:rsidRPr="002F44AE">
              <w:rPr>
                <w:sz w:val="22"/>
                <w:lang w:val="uk-UA"/>
              </w:rPr>
              <w:t>тис.грн.</w:t>
            </w:r>
          </w:p>
        </w:tc>
        <w:tc>
          <w:tcPr>
            <w:tcW w:w="1251" w:type="dxa"/>
            <w:vAlign w:val="center"/>
          </w:tcPr>
          <w:p w:rsidR="0003595A" w:rsidRPr="002F44AE" w:rsidRDefault="0003595A" w:rsidP="001500A1">
            <w:pPr>
              <w:ind w:right="-239"/>
              <w:rPr>
                <w:sz w:val="22"/>
                <w:lang w:val="uk-UA"/>
              </w:rPr>
            </w:pPr>
            <w:r w:rsidRPr="002F44AE">
              <w:rPr>
                <w:sz w:val="22"/>
                <w:lang w:val="uk-UA"/>
              </w:rPr>
              <w:t>у % до</w:t>
            </w:r>
          </w:p>
          <w:p w:rsidR="0003595A" w:rsidRPr="002F44AE" w:rsidRDefault="0003595A" w:rsidP="001500A1">
            <w:pPr>
              <w:ind w:right="-239"/>
              <w:rPr>
                <w:sz w:val="22"/>
                <w:lang w:val="uk-UA"/>
              </w:rPr>
            </w:pPr>
            <w:r w:rsidRPr="002F44AE">
              <w:rPr>
                <w:sz w:val="22"/>
                <w:lang w:val="uk-UA"/>
              </w:rPr>
              <w:t>202</w:t>
            </w:r>
            <w:r>
              <w:rPr>
                <w:sz w:val="22"/>
                <w:lang w:val="uk-UA"/>
              </w:rPr>
              <w:t>2</w:t>
            </w:r>
            <w:r w:rsidRPr="002F44AE">
              <w:rPr>
                <w:sz w:val="22"/>
                <w:lang w:val="uk-UA"/>
              </w:rPr>
              <w:t xml:space="preserve">  року</w:t>
            </w:r>
          </w:p>
        </w:tc>
      </w:tr>
      <w:tr w:rsidR="0003595A" w:rsidTr="001500A1">
        <w:tc>
          <w:tcPr>
            <w:tcW w:w="2485" w:type="dxa"/>
          </w:tcPr>
          <w:p w:rsidR="0003595A" w:rsidRPr="002F44AE" w:rsidRDefault="0003595A" w:rsidP="001500A1">
            <w:pPr>
              <w:ind w:right="-239"/>
              <w:rPr>
                <w:sz w:val="22"/>
                <w:lang w:val="uk-UA"/>
              </w:rPr>
            </w:pPr>
            <w:r w:rsidRPr="002F44AE">
              <w:rPr>
                <w:sz w:val="22"/>
                <w:lang w:val="uk-UA"/>
              </w:rPr>
              <w:t>Доходи загального та спеціального фондів</w:t>
            </w:r>
            <w:r>
              <w:rPr>
                <w:sz w:val="22"/>
                <w:lang w:val="uk-UA"/>
              </w:rPr>
              <w:t xml:space="preserve"> - всього</w:t>
            </w:r>
          </w:p>
        </w:tc>
        <w:tc>
          <w:tcPr>
            <w:tcW w:w="1371" w:type="dxa"/>
            <w:vAlign w:val="center"/>
          </w:tcPr>
          <w:p w:rsidR="0003595A" w:rsidRPr="00655C68" w:rsidRDefault="0003595A" w:rsidP="001500A1">
            <w:pPr>
              <w:rPr>
                <w:sz w:val="22"/>
                <w:lang w:val="uk-UA"/>
              </w:rPr>
            </w:pPr>
            <w:r w:rsidRPr="00655C68">
              <w:rPr>
                <w:sz w:val="22"/>
                <w:szCs w:val="22"/>
                <w:lang w:val="uk-UA"/>
              </w:rPr>
              <w:t>43498</w:t>
            </w:r>
            <w:r>
              <w:rPr>
                <w:sz w:val="22"/>
                <w:szCs w:val="22"/>
                <w:lang w:val="uk-UA"/>
              </w:rPr>
              <w:t>,</w:t>
            </w:r>
            <w:r w:rsidRPr="00655C68">
              <w:rPr>
                <w:sz w:val="22"/>
                <w:szCs w:val="22"/>
                <w:lang w:val="uk-UA"/>
              </w:rPr>
              <w:t>234</w:t>
            </w:r>
          </w:p>
        </w:tc>
        <w:tc>
          <w:tcPr>
            <w:tcW w:w="1430" w:type="dxa"/>
            <w:vAlign w:val="center"/>
          </w:tcPr>
          <w:p w:rsidR="0003595A" w:rsidRPr="002F44AE" w:rsidRDefault="0003595A" w:rsidP="001500A1">
            <w:pPr>
              <w:ind w:right="-239"/>
              <w:rPr>
                <w:sz w:val="22"/>
                <w:lang w:val="uk-UA"/>
              </w:rPr>
            </w:pPr>
            <w:r>
              <w:rPr>
                <w:sz w:val="22"/>
                <w:lang w:val="uk-UA"/>
              </w:rPr>
              <w:t>45934,135</w:t>
            </w:r>
          </w:p>
        </w:tc>
        <w:tc>
          <w:tcPr>
            <w:tcW w:w="1385" w:type="dxa"/>
            <w:vAlign w:val="center"/>
          </w:tcPr>
          <w:p w:rsidR="0003595A" w:rsidRPr="002F44AE" w:rsidRDefault="0003595A" w:rsidP="001500A1">
            <w:pPr>
              <w:ind w:right="-239"/>
              <w:rPr>
                <w:sz w:val="22"/>
                <w:lang w:val="uk-UA"/>
              </w:rPr>
            </w:pPr>
            <w:r w:rsidRPr="002F44AE">
              <w:rPr>
                <w:sz w:val="22"/>
                <w:lang w:val="uk-UA"/>
              </w:rPr>
              <w:t>105,6</w:t>
            </w:r>
          </w:p>
        </w:tc>
        <w:tc>
          <w:tcPr>
            <w:tcW w:w="1474" w:type="dxa"/>
            <w:vAlign w:val="center"/>
          </w:tcPr>
          <w:p w:rsidR="0003595A" w:rsidRPr="002F44AE" w:rsidRDefault="0003595A" w:rsidP="001500A1">
            <w:pPr>
              <w:ind w:right="-239"/>
              <w:rPr>
                <w:sz w:val="22"/>
                <w:lang w:val="uk-UA"/>
              </w:rPr>
            </w:pPr>
            <w:r>
              <w:rPr>
                <w:sz w:val="22"/>
                <w:lang w:val="uk-UA"/>
              </w:rPr>
              <w:t>48322,710</w:t>
            </w:r>
          </w:p>
        </w:tc>
        <w:tc>
          <w:tcPr>
            <w:tcW w:w="1251" w:type="dxa"/>
            <w:vAlign w:val="center"/>
          </w:tcPr>
          <w:p w:rsidR="0003595A" w:rsidRPr="002F44AE" w:rsidRDefault="0003595A" w:rsidP="001500A1">
            <w:pPr>
              <w:ind w:right="-239"/>
              <w:rPr>
                <w:sz w:val="22"/>
                <w:lang w:val="uk-UA"/>
              </w:rPr>
            </w:pPr>
            <w:r w:rsidRPr="002F44AE">
              <w:rPr>
                <w:sz w:val="22"/>
                <w:lang w:val="uk-UA"/>
              </w:rPr>
              <w:t>105,2</w:t>
            </w:r>
          </w:p>
        </w:tc>
      </w:tr>
      <w:tr w:rsidR="0003595A" w:rsidTr="001500A1">
        <w:tc>
          <w:tcPr>
            <w:tcW w:w="2485" w:type="dxa"/>
          </w:tcPr>
          <w:p w:rsidR="0003595A" w:rsidRDefault="0003595A" w:rsidP="001500A1">
            <w:pPr>
              <w:ind w:right="-239"/>
              <w:jc w:val="both"/>
              <w:rPr>
                <w:sz w:val="22"/>
                <w:lang w:val="uk-UA"/>
              </w:rPr>
            </w:pPr>
            <w:r w:rsidRPr="002F44AE">
              <w:rPr>
                <w:sz w:val="22"/>
                <w:lang w:val="uk-UA"/>
              </w:rPr>
              <w:t xml:space="preserve">Міжбюджетні </w:t>
            </w:r>
          </w:p>
          <w:p w:rsidR="0003595A" w:rsidRPr="002F44AE" w:rsidRDefault="0003595A" w:rsidP="001500A1">
            <w:pPr>
              <w:ind w:right="-239"/>
              <w:jc w:val="both"/>
              <w:rPr>
                <w:sz w:val="22"/>
                <w:lang w:val="uk-UA"/>
              </w:rPr>
            </w:pPr>
            <w:r w:rsidRPr="002F44AE">
              <w:rPr>
                <w:sz w:val="22"/>
                <w:lang w:val="uk-UA"/>
              </w:rPr>
              <w:t>трансферти</w:t>
            </w:r>
          </w:p>
        </w:tc>
        <w:tc>
          <w:tcPr>
            <w:tcW w:w="1371" w:type="dxa"/>
            <w:vAlign w:val="center"/>
          </w:tcPr>
          <w:p w:rsidR="0003595A" w:rsidRPr="002F44AE" w:rsidRDefault="0003595A" w:rsidP="001500A1">
            <w:pPr>
              <w:ind w:right="-239"/>
              <w:rPr>
                <w:sz w:val="22"/>
                <w:lang w:val="uk-UA"/>
              </w:rPr>
            </w:pPr>
            <w:r>
              <w:rPr>
                <w:sz w:val="22"/>
                <w:lang w:val="uk-UA"/>
              </w:rPr>
              <w:t>14702,900</w:t>
            </w:r>
          </w:p>
        </w:tc>
        <w:tc>
          <w:tcPr>
            <w:tcW w:w="1430" w:type="dxa"/>
            <w:vAlign w:val="center"/>
          </w:tcPr>
          <w:p w:rsidR="0003595A" w:rsidRPr="002F44AE" w:rsidRDefault="0003595A" w:rsidP="001500A1">
            <w:pPr>
              <w:ind w:right="-239"/>
              <w:rPr>
                <w:sz w:val="22"/>
                <w:lang w:val="uk-UA"/>
              </w:rPr>
            </w:pPr>
            <w:r>
              <w:rPr>
                <w:sz w:val="22"/>
                <w:lang w:val="uk-UA"/>
              </w:rPr>
              <w:t>15526,262</w:t>
            </w:r>
          </w:p>
        </w:tc>
        <w:tc>
          <w:tcPr>
            <w:tcW w:w="1385" w:type="dxa"/>
            <w:vAlign w:val="center"/>
          </w:tcPr>
          <w:p w:rsidR="0003595A" w:rsidRPr="002F44AE" w:rsidRDefault="0003595A" w:rsidP="001500A1">
            <w:pPr>
              <w:ind w:right="-239"/>
              <w:rPr>
                <w:sz w:val="22"/>
                <w:lang w:val="uk-UA"/>
              </w:rPr>
            </w:pPr>
            <w:r w:rsidRPr="002F44AE">
              <w:rPr>
                <w:sz w:val="22"/>
                <w:lang w:val="uk-UA"/>
              </w:rPr>
              <w:t>105,6</w:t>
            </w:r>
          </w:p>
        </w:tc>
        <w:tc>
          <w:tcPr>
            <w:tcW w:w="1474" w:type="dxa"/>
            <w:vAlign w:val="center"/>
          </w:tcPr>
          <w:p w:rsidR="0003595A" w:rsidRPr="002F44AE" w:rsidRDefault="0003595A" w:rsidP="001500A1">
            <w:pPr>
              <w:ind w:right="-239"/>
              <w:rPr>
                <w:sz w:val="22"/>
                <w:lang w:val="uk-UA"/>
              </w:rPr>
            </w:pPr>
            <w:r>
              <w:rPr>
                <w:sz w:val="22"/>
                <w:lang w:val="uk-UA"/>
              </w:rPr>
              <w:t>16333,628</w:t>
            </w:r>
          </w:p>
        </w:tc>
        <w:tc>
          <w:tcPr>
            <w:tcW w:w="1251" w:type="dxa"/>
            <w:vAlign w:val="center"/>
          </w:tcPr>
          <w:p w:rsidR="0003595A" w:rsidRPr="002F44AE" w:rsidRDefault="0003595A" w:rsidP="001500A1">
            <w:pPr>
              <w:ind w:right="-239"/>
              <w:rPr>
                <w:sz w:val="22"/>
                <w:lang w:val="uk-UA"/>
              </w:rPr>
            </w:pPr>
            <w:r w:rsidRPr="002F44AE">
              <w:rPr>
                <w:sz w:val="22"/>
                <w:lang w:val="uk-UA"/>
              </w:rPr>
              <w:t>105,2</w:t>
            </w:r>
          </w:p>
        </w:tc>
      </w:tr>
      <w:tr w:rsidR="0003595A" w:rsidTr="001500A1">
        <w:tc>
          <w:tcPr>
            <w:tcW w:w="2485" w:type="dxa"/>
          </w:tcPr>
          <w:p w:rsidR="0003595A" w:rsidRPr="002F44AE" w:rsidRDefault="0003595A" w:rsidP="001500A1">
            <w:pPr>
              <w:ind w:right="-239"/>
              <w:rPr>
                <w:sz w:val="22"/>
                <w:lang w:val="uk-UA"/>
              </w:rPr>
            </w:pPr>
            <w:r w:rsidRPr="002F44AE">
              <w:rPr>
                <w:sz w:val="22"/>
                <w:lang w:val="uk-UA"/>
              </w:rPr>
              <w:t>Загальний обсяг доходів (без врахування трансфертів</w:t>
            </w:r>
            <w:r>
              <w:rPr>
                <w:sz w:val="22"/>
                <w:lang w:val="uk-UA"/>
              </w:rPr>
              <w:t>)</w:t>
            </w:r>
          </w:p>
        </w:tc>
        <w:tc>
          <w:tcPr>
            <w:tcW w:w="1371" w:type="dxa"/>
            <w:vAlign w:val="center"/>
          </w:tcPr>
          <w:p w:rsidR="0003595A" w:rsidRPr="002F44AE" w:rsidRDefault="0003595A" w:rsidP="001500A1">
            <w:pPr>
              <w:ind w:right="-239"/>
              <w:rPr>
                <w:sz w:val="22"/>
                <w:lang w:val="uk-UA"/>
              </w:rPr>
            </w:pPr>
            <w:r>
              <w:rPr>
                <w:sz w:val="22"/>
                <w:lang w:val="uk-UA"/>
              </w:rPr>
              <w:t>28795,334</w:t>
            </w:r>
          </w:p>
        </w:tc>
        <w:tc>
          <w:tcPr>
            <w:tcW w:w="1430" w:type="dxa"/>
            <w:vAlign w:val="center"/>
          </w:tcPr>
          <w:p w:rsidR="0003595A" w:rsidRPr="002F44AE" w:rsidRDefault="0003595A" w:rsidP="001500A1">
            <w:pPr>
              <w:ind w:right="-239"/>
              <w:rPr>
                <w:sz w:val="22"/>
                <w:lang w:val="uk-UA"/>
              </w:rPr>
            </w:pPr>
            <w:r>
              <w:rPr>
                <w:sz w:val="22"/>
                <w:lang w:val="uk-UA"/>
              </w:rPr>
              <w:t>30407,872</w:t>
            </w:r>
          </w:p>
        </w:tc>
        <w:tc>
          <w:tcPr>
            <w:tcW w:w="1385" w:type="dxa"/>
            <w:vAlign w:val="center"/>
          </w:tcPr>
          <w:p w:rsidR="0003595A" w:rsidRPr="002F44AE" w:rsidRDefault="0003595A" w:rsidP="001500A1">
            <w:pPr>
              <w:ind w:right="-239"/>
              <w:rPr>
                <w:sz w:val="22"/>
                <w:lang w:val="uk-UA"/>
              </w:rPr>
            </w:pPr>
            <w:r w:rsidRPr="002F44AE">
              <w:rPr>
                <w:sz w:val="22"/>
                <w:lang w:val="uk-UA"/>
              </w:rPr>
              <w:t>105,6</w:t>
            </w:r>
          </w:p>
        </w:tc>
        <w:tc>
          <w:tcPr>
            <w:tcW w:w="1474" w:type="dxa"/>
            <w:vAlign w:val="center"/>
          </w:tcPr>
          <w:p w:rsidR="0003595A" w:rsidRPr="002F44AE" w:rsidRDefault="0003595A" w:rsidP="001500A1">
            <w:pPr>
              <w:ind w:right="-239"/>
              <w:rPr>
                <w:sz w:val="22"/>
                <w:lang w:val="uk-UA"/>
              </w:rPr>
            </w:pPr>
            <w:r>
              <w:rPr>
                <w:sz w:val="22"/>
                <w:lang w:val="uk-UA"/>
              </w:rPr>
              <w:t>31989,081</w:t>
            </w:r>
          </w:p>
        </w:tc>
        <w:tc>
          <w:tcPr>
            <w:tcW w:w="1251" w:type="dxa"/>
            <w:vAlign w:val="center"/>
          </w:tcPr>
          <w:p w:rsidR="0003595A" w:rsidRPr="002F44AE" w:rsidRDefault="0003595A" w:rsidP="001500A1">
            <w:pPr>
              <w:ind w:right="-239"/>
              <w:rPr>
                <w:sz w:val="22"/>
                <w:lang w:val="uk-UA"/>
              </w:rPr>
            </w:pPr>
            <w:r w:rsidRPr="002F44AE">
              <w:rPr>
                <w:sz w:val="22"/>
                <w:lang w:val="uk-UA"/>
              </w:rPr>
              <w:t>105,2</w:t>
            </w:r>
          </w:p>
        </w:tc>
      </w:tr>
    </w:tbl>
    <w:p w:rsidR="0003595A" w:rsidRDefault="0003595A" w:rsidP="0003595A">
      <w:pPr>
        <w:ind w:right="-239"/>
        <w:jc w:val="both"/>
        <w:rPr>
          <w:b/>
          <w:sz w:val="22"/>
          <w:lang w:val="uk-UA"/>
        </w:rPr>
      </w:pPr>
    </w:p>
    <w:p w:rsidR="0003595A" w:rsidRPr="002F44AE" w:rsidRDefault="0003595A" w:rsidP="0003595A">
      <w:pPr>
        <w:ind w:right="260"/>
        <w:rPr>
          <w:sz w:val="26"/>
          <w:lang w:val="uk-UA"/>
        </w:rPr>
      </w:pPr>
      <w:r>
        <w:rPr>
          <w:sz w:val="26"/>
          <w:lang w:val="uk-UA"/>
        </w:rPr>
        <w:t xml:space="preserve">     </w:t>
      </w:r>
      <w:r w:rsidRPr="002F44AE">
        <w:rPr>
          <w:sz w:val="26"/>
          <w:lang w:val="uk-UA"/>
        </w:rPr>
        <w:t>Ключовим завданням бюджетної політики залишатиметься забезпечення макроекономічної стабільності, стійкості та збалансованості бюджетної системи.</w:t>
      </w:r>
    </w:p>
    <w:p w:rsidR="0003595A" w:rsidRDefault="0003595A" w:rsidP="0003595A">
      <w:pPr>
        <w:ind w:right="260"/>
        <w:jc w:val="both"/>
        <w:rPr>
          <w:sz w:val="26"/>
          <w:lang w:val="uk-UA"/>
        </w:rPr>
      </w:pPr>
      <w:r>
        <w:rPr>
          <w:sz w:val="26"/>
          <w:lang w:val="uk-UA"/>
        </w:rPr>
        <w:t xml:space="preserve">     </w:t>
      </w:r>
      <w:r>
        <w:rPr>
          <w:sz w:val="26"/>
        </w:rPr>
        <w:t>Фінансування бюджетних видатків на період до 202</w:t>
      </w:r>
      <w:r>
        <w:rPr>
          <w:sz w:val="26"/>
          <w:lang w:val="uk-UA"/>
        </w:rPr>
        <w:t>3</w:t>
      </w:r>
      <w:r>
        <w:rPr>
          <w:sz w:val="26"/>
        </w:rPr>
        <w:t xml:space="preserve"> року здійснюватиметься в рамках жорсткої економії бюджетних коштів. В цих умовах визначальним стане підвищення ефективності та результативності видатків, що відбуватиметься на основі їх пріоритетності та оцінки ступеня досягнення очікуваних результатів</w:t>
      </w:r>
      <w:r>
        <w:rPr>
          <w:sz w:val="26"/>
          <w:lang w:val="uk-UA"/>
        </w:rPr>
        <w:t xml:space="preserve"> у середньостроковому  періоді  бюджетної системи України, функціонування в умовах реформи  міжбюджетних відносин, побудованих на принципах децентралізації, фінансів та зміцнення  фінансової основи місцевого самоврядування, підвищення відповідальності учасників бюджетного процесу.</w:t>
      </w:r>
    </w:p>
    <w:p w:rsidR="0003595A" w:rsidRDefault="0003595A" w:rsidP="0003595A">
      <w:pPr>
        <w:ind w:left="380" w:right="20"/>
        <w:rPr>
          <w:sz w:val="26"/>
        </w:rPr>
      </w:pPr>
      <w:r>
        <w:rPr>
          <w:sz w:val="26"/>
          <w:lang w:val="uk-UA"/>
        </w:rPr>
        <w:t xml:space="preserve">  </w:t>
      </w:r>
      <w:r>
        <w:rPr>
          <w:sz w:val="26"/>
        </w:rPr>
        <w:t>За видами діяльності головними завданнями бюджетної політики будуть такі.</w:t>
      </w:r>
    </w:p>
    <w:p w:rsidR="0003595A" w:rsidRDefault="0003595A" w:rsidP="0003595A">
      <w:pPr>
        <w:ind w:left="1460"/>
        <w:jc w:val="center"/>
        <w:rPr>
          <w:b/>
          <w:sz w:val="26"/>
        </w:rPr>
      </w:pPr>
      <w:r>
        <w:rPr>
          <w:b/>
          <w:sz w:val="26"/>
        </w:rPr>
        <w:t>Органи місцевого самоврядування</w:t>
      </w:r>
    </w:p>
    <w:p w:rsidR="0003595A" w:rsidRDefault="0003595A" w:rsidP="0003595A">
      <w:pPr>
        <w:jc w:val="both"/>
        <w:rPr>
          <w:sz w:val="26"/>
        </w:rPr>
      </w:pPr>
      <w:r>
        <w:rPr>
          <w:sz w:val="26"/>
          <w:lang w:val="uk-UA"/>
        </w:rPr>
        <w:t xml:space="preserve">       </w:t>
      </w:r>
      <w:r>
        <w:rPr>
          <w:sz w:val="26"/>
        </w:rPr>
        <w:t>Пріоритетними завданнями апарату с</w:t>
      </w:r>
      <w:r>
        <w:rPr>
          <w:sz w:val="26"/>
          <w:lang w:val="uk-UA"/>
        </w:rPr>
        <w:t>ільської</w:t>
      </w:r>
      <w:r>
        <w:rPr>
          <w:sz w:val="26"/>
        </w:rPr>
        <w:t xml:space="preserve"> ради та її виконавчих органів є забезпечення здійснення повноважень, наданих Конституцією України, Законами України «Про місцеве самоврядування в Україні», «Про службу в органах місцевого самоврядування» та іншими нормативноправовими актами.</w:t>
      </w:r>
    </w:p>
    <w:p w:rsidR="0003595A" w:rsidRPr="009F1E80" w:rsidRDefault="0003595A" w:rsidP="0003595A">
      <w:pPr>
        <w:tabs>
          <w:tab w:val="left" w:pos="1382"/>
        </w:tabs>
        <w:jc w:val="both"/>
        <w:rPr>
          <w:sz w:val="26"/>
          <w:lang w:val="uk-UA"/>
        </w:rPr>
      </w:pPr>
      <w:r>
        <w:rPr>
          <w:sz w:val="26"/>
          <w:lang w:val="uk-UA"/>
        </w:rPr>
        <w:t xml:space="preserve">            </w:t>
      </w:r>
      <w:r w:rsidRPr="009F1E80">
        <w:rPr>
          <w:sz w:val="26"/>
          <w:lang w:val="uk-UA"/>
        </w:rPr>
        <w:t>202</w:t>
      </w:r>
      <w:r>
        <w:rPr>
          <w:sz w:val="26"/>
          <w:lang w:val="uk-UA"/>
        </w:rPr>
        <w:t>2</w:t>
      </w:r>
      <w:r w:rsidRPr="009F1E80">
        <w:rPr>
          <w:sz w:val="26"/>
          <w:lang w:val="uk-UA"/>
        </w:rPr>
        <w:t xml:space="preserve"> - 202</w:t>
      </w:r>
      <w:r>
        <w:rPr>
          <w:sz w:val="26"/>
          <w:lang w:val="uk-UA"/>
        </w:rPr>
        <w:t>3</w:t>
      </w:r>
      <w:r w:rsidRPr="009F1E80">
        <w:rPr>
          <w:sz w:val="26"/>
          <w:lang w:val="uk-UA"/>
        </w:rPr>
        <w:t xml:space="preserve"> роках планується здійснити такі заходи: організаційне, правове, інформаційне, аналітичне, матеріально-технічне забезпечення діяльності ради, виконавчих органів, депутатів, взаємодію і зв’язок з місцевими органами виконавчої влади.</w:t>
      </w:r>
    </w:p>
    <w:p w:rsidR="0003595A" w:rsidRPr="00A467A6" w:rsidRDefault="0003595A" w:rsidP="0003595A">
      <w:pPr>
        <w:ind w:right="-1039"/>
        <w:jc w:val="center"/>
        <w:rPr>
          <w:b/>
          <w:sz w:val="26"/>
          <w:lang w:val="uk-UA"/>
        </w:rPr>
      </w:pPr>
      <w:r w:rsidRPr="00A467A6">
        <w:rPr>
          <w:b/>
          <w:sz w:val="26"/>
          <w:lang w:val="uk-UA"/>
        </w:rPr>
        <w:t>Освіта</w:t>
      </w:r>
    </w:p>
    <w:p w:rsidR="0003595A" w:rsidRPr="009F1E80" w:rsidRDefault="0003595A" w:rsidP="0003595A">
      <w:pPr>
        <w:ind w:right="20"/>
        <w:jc w:val="both"/>
        <w:rPr>
          <w:sz w:val="26"/>
          <w:lang w:val="uk-UA"/>
        </w:rPr>
      </w:pPr>
      <w:r>
        <w:rPr>
          <w:sz w:val="26"/>
          <w:lang w:val="uk-UA"/>
        </w:rPr>
        <w:t xml:space="preserve">        </w:t>
      </w:r>
      <w:r w:rsidRPr="009F1E80">
        <w:rPr>
          <w:sz w:val="26"/>
          <w:lang w:val="uk-UA"/>
        </w:rPr>
        <w:t>Пріоритетом розвитку галузі освіти буде забезпечення доступності високоякісної освіти для всіх громадян об’єднаної громади незалежно від місця їх проживання.</w:t>
      </w:r>
    </w:p>
    <w:p w:rsidR="0003595A" w:rsidRPr="00DF648A" w:rsidRDefault="0003595A" w:rsidP="0003595A">
      <w:pPr>
        <w:tabs>
          <w:tab w:val="left" w:pos="1332"/>
        </w:tabs>
        <w:ind w:right="20"/>
        <w:rPr>
          <w:sz w:val="26"/>
        </w:rPr>
      </w:pPr>
      <w:r>
        <w:rPr>
          <w:sz w:val="26"/>
          <w:lang w:val="uk-UA"/>
        </w:rPr>
        <w:t xml:space="preserve">        У </w:t>
      </w:r>
      <w:r>
        <w:rPr>
          <w:sz w:val="26"/>
        </w:rPr>
        <w:t>2021 та 2022 роках передбачається здійснити такі заходи:</w:t>
      </w:r>
    </w:p>
    <w:p w:rsidR="0003595A" w:rsidRDefault="0003595A" w:rsidP="0003595A">
      <w:pPr>
        <w:tabs>
          <w:tab w:val="left" w:pos="1332"/>
        </w:tabs>
        <w:ind w:right="20"/>
        <w:rPr>
          <w:sz w:val="26"/>
        </w:rPr>
      </w:pPr>
      <w:r>
        <w:rPr>
          <w:sz w:val="26"/>
          <w:lang w:val="uk-UA"/>
        </w:rPr>
        <w:t xml:space="preserve">    </w:t>
      </w:r>
      <w:r>
        <w:rPr>
          <w:sz w:val="26"/>
        </w:rPr>
        <w:t xml:space="preserve"> оптимізація мережі навчальних закладів з урахуванням</w:t>
      </w:r>
    </w:p>
    <w:p w:rsidR="0003595A" w:rsidRDefault="0003595A" w:rsidP="0003595A">
      <w:pPr>
        <w:ind w:left="360"/>
        <w:rPr>
          <w:sz w:val="26"/>
        </w:rPr>
      </w:pPr>
      <w:r>
        <w:rPr>
          <w:sz w:val="26"/>
        </w:rPr>
        <w:t>демографічних і економічних реалій;</w:t>
      </w:r>
    </w:p>
    <w:p w:rsidR="0003595A" w:rsidRPr="009F1E80" w:rsidRDefault="0003595A" w:rsidP="0003595A">
      <w:pPr>
        <w:tabs>
          <w:tab w:val="left" w:pos="1277"/>
        </w:tabs>
        <w:jc w:val="both"/>
        <w:rPr>
          <w:sz w:val="26"/>
          <w:lang w:val="uk-UA"/>
        </w:rPr>
      </w:pPr>
      <w:r>
        <w:rPr>
          <w:sz w:val="26"/>
          <w:lang w:val="uk-UA"/>
        </w:rPr>
        <w:lastRenderedPageBreak/>
        <w:t xml:space="preserve">     </w:t>
      </w:r>
      <w:r w:rsidRPr="009F1E80">
        <w:rPr>
          <w:sz w:val="26"/>
          <w:lang w:val="uk-UA"/>
        </w:rPr>
        <w:t>розвиток і підтримка системи роботи з обдарованою і талановитою молоддю, різнобічний розвиток індивідуальності дитини, її задатків і здібностей;</w:t>
      </w:r>
    </w:p>
    <w:p w:rsidR="0003595A" w:rsidRDefault="0003595A" w:rsidP="0003595A">
      <w:pPr>
        <w:numPr>
          <w:ilvl w:val="0"/>
          <w:numId w:val="1"/>
        </w:numPr>
        <w:tabs>
          <w:tab w:val="left" w:pos="1276"/>
        </w:tabs>
        <w:ind w:left="360" w:right="40" w:firstLine="702"/>
        <w:rPr>
          <w:sz w:val="26"/>
        </w:rPr>
      </w:pPr>
      <w:r>
        <w:rPr>
          <w:sz w:val="26"/>
        </w:rPr>
        <w:t>створення належних умов для здобуття високоякісної освіти дітьми сиротами, дітьми, позбавленими батьківського піклування;</w:t>
      </w:r>
    </w:p>
    <w:p w:rsidR="0003595A" w:rsidRDefault="0003595A" w:rsidP="0003595A">
      <w:pPr>
        <w:ind w:left="360" w:right="20" w:firstLine="1114"/>
        <w:jc w:val="both"/>
        <w:rPr>
          <w:sz w:val="26"/>
        </w:rPr>
      </w:pPr>
      <w:r>
        <w:rPr>
          <w:sz w:val="26"/>
        </w:rPr>
        <w:t>підвищення престижу та соціального статусу педагогічних працівників, стимулювання активної участі вчителів у становленні і розвитку освіти, популяризації кращих педагогічних здобутків і професійної майстерності;</w:t>
      </w:r>
    </w:p>
    <w:p w:rsidR="0003595A" w:rsidRDefault="0003595A" w:rsidP="0003595A">
      <w:pPr>
        <w:numPr>
          <w:ilvl w:val="0"/>
          <w:numId w:val="1"/>
        </w:numPr>
        <w:tabs>
          <w:tab w:val="left" w:pos="1349"/>
        </w:tabs>
        <w:ind w:left="360" w:right="40" w:firstLine="696"/>
        <w:rPr>
          <w:sz w:val="26"/>
        </w:rPr>
      </w:pPr>
      <w:r>
        <w:rPr>
          <w:sz w:val="26"/>
        </w:rPr>
        <w:t>упровадження в навчальних закладах сприятливого середовища, спрямованого на збереження здоров’я учнів;</w:t>
      </w:r>
    </w:p>
    <w:p w:rsidR="0003595A" w:rsidRDefault="0003595A" w:rsidP="0003595A">
      <w:pPr>
        <w:numPr>
          <w:ilvl w:val="0"/>
          <w:numId w:val="1"/>
        </w:numPr>
        <w:tabs>
          <w:tab w:val="left" w:pos="1220"/>
        </w:tabs>
        <w:ind w:left="1220" w:hanging="164"/>
        <w:rPr>
          <w:sz w:val="26"/>
        </w:rPr>
      </w:pPr>
      <w:r>
        <w:rPr>
          <w:sz w:val="26"/>
        </w:rPr>
        <w:t>створення системи позашкільної освіти в громаді;</w:t>
      </w:r>
    </w:p>
    <w:p w:rsidR="0003595A" w:rsidRDefault="0003595A" w:rsidP="0003595A">
      <w:pPr>
        <w:ind w:left="360" w:right="20" w:firstLine="1244"/>
        <w:rPr>
          <w:sz w:val="26"/>
        </w:rPr>
      </w:pPr>
      <w:r>
        <w:rPr>
          <w:sz w:val="26"/>
        </w:rPr>
        <w:t>модернізація матеріально-технічної та методичної бази загальноосвітніх навчальних закладів, підвищення якості освіти.</w:t>
      </w:r>
    </w:p>
    <w:p w:rsidR="0003595A" w:rsidRDefault="0003595A" w:rsidP="0003595A">
      <w:pPr>
        <w:ind w:left="1060"/>
        <w:rPr>
          <w:sz w:val="26"/>
        </w:rPr>
      </w:pPr>
      <w:r>
        <w:rPr>
          <w:sz w:val="26"/>
        </w:rPr>
        <w:t>Основними результатами, яких планується досягти, є:</w:t>
      </w:r>
    </w:p>
    <w:p w:rsidR="0003595A" w:rsidRDefault="0003595A" w:rsidP="0003595A">
      <w:pPr>
        <w:numPr>
          <w:ilvl w:val="1"/>
          <w:numId w:val="2"/>
        </w:numPr>
        <w:tabs>
          <w:tab w:val="left" w:pos="1280"/>
        </w:tabs>
        <w:ind w:left="1280" w:hanging="152"/>
        <w:rPr>
          <w:sz w:val="26"/>
        </w:rPr>
      </w:pPr>
      <w:r>
        <w:rPr>
          <w:sz w:val="26"/>
        </w:rPr>
        <w:t>збільшення рівня охоплення дітей дошкільною освітою;</w:t>
      </w:r>
    </w:p>
    <w:p w:rsidR="0003595A" w:rsidRDefault="0003595A" w:rsidP="0003595A">
      <w:pPr>
        <w:numPr>
          <w:ilvl w:val="0"/>
          <w:numId w:val="2"/>
        </w:numPr>
        <w:tabs>
          <w:tab w:val="left" w:pos="1420"/>
        </w:tabs>
        <w:ind w:left="1420" w:hanging="364"/>
        <w:rPr>
          <w:sz w:val="26"/>
        </w:rPr>
      </w:pPr>
      <w:r>
        <w:rPr>
          <w:sz w:val="26"/>
        </w:rPr>
        <w:t>100-відсоткове  охоплення  дітей  повною  загальною  середньою</w:t>
      </w:r>
    </w:p>
    <w:p w:rsidR="0003595A" w:rsidRDefault="0003595A" w:rsidP="0003595A">
      <w:pPr>
        <w:ind w:left="360"/>
        <w:rPr>
          <w:sz w:val="26"/>
        </w:rPr>
      </w:pPr>
      <w:r>
        <w:rPr>
          <w:sz w:val="26"/>
        </w:rPr>
        <w:t>освітою;</w:t>
      </w:r>
    </w:p>
    <w:p w:rsidR="0003595A" w:rsidRDefault="0003595A" w:rsidP="0003595A">
      <w:pPr>
        <w:numPr>
          <w:ilvl w:val="1"/>
          <w:numId w:val="3"/>
        </w:numPr>
        <w:tabs>
          <w:tab w:val="left" w:pos="1305"/>
        </w:tabs>
        <w:ind w:left="360" w:right="40" w:firstLine="768"/>
        <w:rPr>
          <w:sz w:val="26"/>
        </w:rPr>
      </w:pPr>
      <w:r>
        <w:rPr>
          <w:sz w:val="26"/>
        </w:rPr>
        <w:t>підвищення рівня забезпечення загальноосвітніх навчальних закладів сучасними комп'ютерними комплексами;</w:t>
      </w:r>
    </w:p>
    <w:p w:rsidR="0003595A" w:rsidRDefault="0003595A" w:rsidP="0003595A">
      <w:pPr>
        <w:rPr>
          <w:sz w:val="26"/>
        </w:rPr>
      </w:pPr>
      <w:r>
        <w:rPr>
          <w:sz w:val="26"/>
        </w:rPr>
        <w:t>створення сприятливих умов для якісного харчування</w:t>
      </w:r>
    </w:p>
    <w:p w:rsidR="0003595A" w:rsidRDefault="0003595A" w:rsidP="0003595A">
      <w:pPr>
        <w:ind w:left="640" w:right="100" w:firstLine="700"/>
        <w:rPr>
          <w:sz w:val="26"/>
        </w:rPr>
      </w:pPr>
      <w:r>
        <w:rPr>
          <w:sz w:val="26"/>
        </w:rPr>
        <w:t>приведення інформаційної компетентності учасників навчально-виховного процесу у відповідність із сучасними вимогами;</w:t>
      </w:r>
    </w:p>
    <w:p w:rsidR="0003595A" w:rsidRDefault="0003595A" w:rsidP="0003595A">
      <w:pPr>
        <w:numPr>
          <w:ilvl w:val="1"/>
          <w:numId w:val="4"/>
        </w:numPr>
        <w:tabs>
          <w:tab w:val="left" w:pos="1560"/>
        </w:tabs>
        <w:ind w:left="1560" w:hanging="210"/>
        <w:rPr>
          <w:sz w:val="26"/>
        </w:rPr>
      </w:pPr>
      <w:r>
        <w:rPr>
          <w:sz w:val="26"/>
        </w:rPr>
        <w:t>підвищення якості надання освітніх послуг здібним та обдарованим</w:t>
      </w:r>
    </w:p>
    <w:p w:rsidR="0003595A" w:rsidRDefault="0003595A" w:rsidP="0003595A">
      <w:pPr>
        <w:ind w:left="640"/>
        <w:rPr>
          <w:sz w:val="26"/>
        </w:rPr>
      </w:pPr>
      <w:r>
        <w:rPr>
          <w:sz w:val="26"/>
        </w:rPr>
        <w:t>учням;</w:t>
      </w:r>
    </w:p>
    <w:p w:rsidR="0003595A" w:rsidRDefault="0003595A" w:rsidP="0003595A">
      <w:pPr>
        <w:numPr>
          <w:ilvl w:val="2"/>
          <w:numId w:val="4"/>
        </w:numPr>
        <w:tabs>
          <w:tab w:val="left" w:pos="1587"/>
        </w:tabs>
        <w:ind w:left="640" w:right="100" w:firstLine="772"/>
        <w:rPr>
          <w:sz w:val="26"/>
        </w:rPr>
      </w:pPr>
      <w:r>
        <w:rPr>
          <w:sz w:val="26"/>
        </w:rPr>
        <w:t>підвищення соціального статусу педагогічних працівників, які мають високі досягнення у роботі з учнівською молоддю;</w:t>
      </w:r>
    </w:p>
    <w:p w:rsidR="0003595A" w:rsidRDefault="0003595A" w:rsidP="0003595A">
      <w:pPr>
        <w:numPr>
          <w:ilvl w:val="0"/>
          <w:numId w:val="4"/>
        </w:numPr>
        <w:tabs>
          <w:tab w:val="left" w:pos="1660"/>
        </w:tabs>
        <w:ind w:left="1660" w:hanging="322"/>
        <w:rPr>
          <w:sz w:val="26"/>
        </w:rPr>
      </w:pPr>
      <w:r>
        <w:rPr>
          <w:sz w:val="26"/>
        </w:rPr>
        <w:t>збільшення  охоплення  дітей  об’єднаної  громади  позашкільною</w:t>
      </w:r>
    </w:p>
    <w:p w:rsidR="0003595A" w:rsidRDefault="0003595A" w:rsidP="0003595A">
      <w:pPr>
        <w:ind w:left="640"/>
        <w:rPr>
          <w:sz w:val="26"/>
        </w:rPr>
      </w:pPr>
      <w:r>
        <w:rPr>
          <w:sz w:val="26"/>
        </w:rPr>
        <w:t>освітою.</w:t>
      </w:r>
    </w:p>
    <w:p w:rsidR="0003595A" w:rsidRDefault="0003595A" w:rsidP="0003595A"/>
    <w:p w:rsidR="0003595A" w:rsidRPr="009521D7" w:rsidRDefault="0003595A" w:rsidP="0003595A">
      <w:pPr>
        <w:ind w:left="2080"/>
        <w:jc w:val="center"/>
        <w:rPr>
          <w:b/>
          <w:sz w:val="26"/>
          <w:lang w:val="uk-UA"/>
        </w:rPr>
      </w:pPr>
      <w:r w:rsidRPr="009521D7">
        <w:rPr>
          <w:b/>
          <w:sz w:val="26"/>
          <w:lang w:val="uk-UA"/>
        </w:rPr>
        <w:t>Соціальний захист та соціальне забезпечення</w:t>
      </w:r>
    </w:p>
    <w:p w:rsidR="0003595A" w:rsidRPr="009521D7" w:rsidRDefault="0003595A" w:rsidP="0003595A">
      <w:pPr>
        <w:ind w:right="100"/>
        <w:jc w:val="both"/>
        <w:rPr>
          <w:sz w:val="26"/>
          <w:lang w:val="uk-UA"/>
        </w:rPr>
      </w:pPr>
      <w:r>
        <w:rPr>
          <w:sz w:val="26"/>
          <w:lang w:val="uk-UA"/>
        </w:rPr>
        <w:t xml:space="preserve">    </w:t>
      </w:r>
      <w:r w:rsidRPr="009521D7">
        <w:rPr>
          <w:sz w:val="26"/>
          <w:lang w:val="uk-UA"/>
        </w:rPr>
        <w:t>Пріоритетними напрямками у галузі є забезпечення адресного характеру надання соціальної підтримки, підвищення рівня охоплення соціальною підтримкою незаможних верств населення при раціональному використанні бюджетних коштів, подальше реформування сфери надання соціальних послуг та соціального захисту.</w:t>
      </w:r>
    </w:p>
    <w:p w:rsidR="0003595A" w:rsidRDefault="0003595A" w:rsidP="0003595A">
      <w:pPr>
        <w:ind w:left="1340"/>
        <w:rPr>
          <w:sz w:val="26"/>
        </w:rPr>
      </w:pPr>
      <w:r>
        <w:rPr>
          <w:sz w:val="26"/>
        </w:rPr>
        <w:t>У 202</w:t>
      </w:r>
      <w:r>
        <w:rPr>
          <w:sz w:val="26"/>
          <w:lang w:val="uk-UA"/>
        </w:rPr>
        <w:t>2</w:t>
      </w:r>
      <w:r>
        <w:rPr>
          <w:sz w:val="26"/>
        </w:rPr>
        <w:t>-202</w:t>
      </w:r>
      <w:r>
        <w:rPr>
          <w:sz w:val="26"/>
          <w:lang w:val="uk-UA"/>
        </w:rPr>
        <w:t>3</w:t>
      </w:r>
      <w:r>
        <w:rPr>
          <w:sz w:val="26"/>
        </w:rPr>
        <w:t xml:space="preserve"> роках передбачається здійснити такі заходи:</w:t>
      </w:r>
    </w:p>
    <w:p w:rsidR="0003595A" w:rsidRDefault="0003595A" w:rsidP="0003595A">
      <w:pPr>
        <w:numPr>
          <w:ilvl w:val="2"/>
          <w:numId w:val="5"/>
        </w:numPr>
        <w:tabs>
          <w:tab w:val="left" w:pos="1681"/>
        </w:tabs>
        <w:ind w:left="620" w:right="120" w:firstLine="776"/>
        <w:rPr>
          <w:sz w:val="26"/>
        </w:rPr>
      </w:pPr>
      <w:r>
        <w:rPr>
          <w:sz w:val="26"/>
        </w:rPr>
        <w:t>підвищення рівня соціального захисту малозабезпечених верств населення;</w:t>
      </w:r>
    </w:p>
    <w:p w:rsidR="0003595A" w:rsidRDefault="0003595A" w:rsidP="0003595A">
      <w:pPr>
        <w:numPr>
          <w:ilvl w:val="0"/>
          <w:numId w:val="5"/>
        </w:numPr>
        <w:tabs>
          <w:tab w:val="left" w:pos="1701"/>
        </w:tabs>
        <w:ind w:left="620" w:right="120" w:firstLine="704"/>
        <w:rPr>
          <w:sz w:val="26"/>
        </w:rPr>
      </w:pPr>
      <w:r>
        <w:rPr>
          <w:sz w:val="26"/>
        </w:rPr>
        <w:t>забезпечення захищеності інвалідів, сімей з дітьми, інших незахищених верств населення;</w:t>
      </w:r>
    </w:p>
    <w:p w:rsidR="0003595A" w:rsidRDefault="0003595A" w:rsidP="0003595A">
      <w:pPr>
        <w:numPr>
          <w:ilvl w:val="1"/>
          <w:numId w:val="5"/>
        </w:numPr>
        <w:tabs>
          <w:tab w:val="left" w:pos="1560"/>
        </w:tabs>
        <w:ind w:left="1560" w:hanging="174"/>
        <w:rPr>
          <w:sz w:val="26"/>
        </w:rPr>
      </w:pPr>
      <w:r>
        <w:rPr>
          <w:sz w:val="26"/>
          <w:lang w:val="uk-UA"/>
        </w:rPr>
        <w:t xml:space="preserve"> </w:t>
      </w:r>
      <w:r>
        <w:rPr>
          <w:sz w:val="26"/>
        </w:rPr>
        <w:t>підвищення ефективність соціальної роботи з сім’ями, молоддю;</w:t>
      </w:r>
    </w:p>
    <w:p w:rsidR="0003595A" w:rsidRDefault="0003595A" w:rsidP="0003595A">
      <w:pPr>
        <w:numPr>
          <w:ilvl w:val="0"/>
          <w:numId w:val="5"/>
        </w:numPr>
        <w:tabs>
          <w:tab w:val="left" w:pos="1575"/>
        </w:tabs>
        <w:ind w:left="620" w:right="120" w:firstLine="694"/>
        <w:jc w:val="both"/>
        <w:rPr>
          <w:sz w:val="26"/>
        </w:rPr>
      </w:pPr>
      <w:r>
        <w:rPr>
          <w:sz w:val="26"/>
        </w:rPr>
        <w:t>надання матеріальної допомоги постраждалим та сім’ям загиблих (померлих) при виконанні службового обов’язку під час проведення антитерористичної операції, а також соціальної підтримки учасникам</w:t>
      </w:r>
    </w:p>
    <w:p w:rsidR="0003595A" w:rsidRDefault="0003595A" w:rsidP="0003595A">
      <w:pPr>
        <w:ind w:left="600"/>
        <w:rPr>
          <w:sz w:val="26"/>
        </w:rPr>
      </w:pPr>
      <w:r>
        <w:rPr>
          <w:sz w:val="26"/>
        </w:rPr>
        <w:t>антитерористичної операції;</w:t>
      </w:r>
    </w:p>
    <w:p w:rsidR="0003595A" w:rsidRDefault="0003595A" w:rsidP="0003595A">
      <w:pPr>
        <w:ind w:left="1380"/>
        <w:rPr>
          <w:sz w:val="26"/>
        </w:rPr>
      </w:pPr>
      <w:r>
        <w:rPr>
          <w:sz w:val="26"/>
        </w:rPr>
        <w:t>Основними результатами, яких планується досягти, є:</w:t>
      </w:r>
    </w:p>
    <w:p w:rsidR="0003595A" w:rsidRDefault="0003595A" w:rsidP="0003595A">
      <w:pPr>
        <w:ind w:left="600" w:right="140" w:firstLine="700"/>
        <w:jc w:val="both"/>
        <w:rPr>
          <w:sz w:val="26"/>
        </w:rPr>
      </w:pPr>
      <w:r>
        <w:rPr>
          <w:sz w:val="26"/>
        </w:rPr>
        <w:t>-</w:t>
      </w:r>
      <w:r>
        <w:rPr>
          <w:sz w:val="26"/>
          <w:lang w:val="uk-UA"/>
        </w:rPr>
        <w:t xml:space="preserve"> </w:t>
      </w:r>
      <w:r>
        <w:rPr>
          <w:sz w:val="26"/>
        </w:rPr>
        <w:t>підвищення якості послуг закладів, що надають соціальні послуги особам, що опинилися у складних життєвих обставинах;</w:t>
      </w:r>
    </w:p>
    <w:p w:rsidR="0003595A" w:rsidRDefault="0003595A" w:rsidP="0003595A">
      <w:pPr>
        <w:ind w:left="1300"/>
        <w:rPr>
          <w:sz w:val="26"/>
        </w:rPr>
      </w:pPr>
      <w:r>
        <w:rPr>
          <w:sz w:val="26"/>
        </w:rPr>
        <w:lastRenderedPageBreak/>
        <w:t>-</w:t>
      </w:r>
      <w:r>
        <w:rPr>
          <w:sz w:val="26"/>
          <w:lang w:val="uk-UA"/>
        </w:rPr>
        <w:t xml:space="preserve"> </w:t>
      </w:r>
      <w:r>
        <w:rPr>
          <w:sz w:val="26"/>
        </w:rPr>
        <w:t>поліпшення матеріального стану незахищених верств населення.</w:t>
      </w:r>
    </w:p>
    <w:p w:rsidR="0003595A" w:rsidRDefault="0003595A" w:rsidP="0003595A">
      <w:pPr>
        <w:ind w:left="4140"/>
        <w:rPr>
          <w:b/>
          <w:sz w:val="26"/>
        </w:rPr>
      </w:pPr>
      <w:r>
        <w:rPr>
          <w:b/>
          <w:sz w:val="26"/>
        </w:rPr>
        <w:t>Культура та мистецтво</w:t>
      </w:r>
    </w:p>
    <w:p w:rsidR="0003595A" w:rsidRDefault="0003595A" w:rsidP="0003595A">
      <w:pPr>
        <w:rPr>
          <w:sz w:val="36"/>
        </w:rPr>
      </w:pPr>
      <w:r>
        <w:rPr>
          <w:sz w:val="26"/>
          <w:lang w:val="uk-UA"/>
        </w:rPr>
        <w:t xml:space="preserve">             </w:t>
      </w:r>
      <w:r>
        <w:rPr>
          <w:sz w:val="26"/>
        </w:rPr>
        <w:t xml:space="preserve">Пріоритетом розвитку у </w:t>
      </w:r>
      <w:r>
        <w:t xml:space="preserve">цій сфері </w:t>
      </w:r>
      <w:r w:rsidRPr="00DF648A">
        <w:rPr>
          <w:szCs w:val="28"/>
        </w:rPr>
        <w:t>є забезпечення рівності прав та</w:t>
      </w:r>
    </w:p>
    <w:p w:rsidR="0003595A" w:rsidRDefault="0003595A" w:rsidP="0003595A">
      <w:pPr>
        <w:ind w:right="140" w:firstLine="4"/>
        <w:jc w:val="both"/>
        <w:rPr>
          <w:sz w:val="26"/>
        </w:rPr>
      </w:pPr>
      <w:r>
        <w:rPr>
          <w:sz w:val="26"/>
        </w:rPr>
        <w:t>можливостей громадян у створенні, використанні, поширенні культурних цінностей; збереження, примноження культурних надбань; створення умов для творчого розвитку особистості та підвищення культурного рівня громадян.</w:t>
      </w:r>
    </w:p>
    <w:p w:rsidR="0003595A" w:rsidRDefault="0003595A" w:rsidP="0003595A">
      <w:pPr>
        <w:ind w:left="1300"/>
        <w:rPr>
          <w:sz w:val="26"/>
        </w:rPr>
      </w:pPr>
      <w:r>
        <w:rPr>
          <w:sz w:val="26"/>
        </w:rPr>
        <w:t>У 202</w:t>
      </w:r>
      <w:r>
        <w:rPr>
          <w:sz w:val="26"/>
          <w:lang w:val="uk-UA"/>
        </w:rPr>
        <w:t>2</w:t>
      </w:r>
      <w:r>
        <w:rPr>
          <w:sz w:val="26"/>
        </w:rPr>
        <w:t xml:space="preserve"> та 202</w:t>
      </w:r>
      <w:r>
        <w:rPr>
          <w:sz w:val="26"/>
          <w:lang w:val="uk-UA"/>
        </w:rPr>
        <w:t>3</w:t>
      </w:r>
      <w:r>
        <w:rPr>
          <w:sz w:val="26"/>
        </w:rPr>
        <w:t xml:space="preserve"> роках передбачається здійснити такі заходи:</w:t>
      </w:r>
    </w:p>
    <w:p w:rsidR="0003595A" w:rsidRDefault="0003595A" w:rsidP="0003595A">
      <w:pPr>
        <w:tabs>
          <w:tab w:val="left" w:pos="1570"/>
        </w:tabs>
        <w:ind w:right="140"/>
        <w:rPr>
          <w:sz w:val="26"/>
        </w:rPr>
      </w:pPr>
      <w:r>
        <w:rPr>
          <w:sz w:val="26"/>
          <w:lang w:val="uk-UA"/>
        </w:rPr>
        <w:t xml:space="preserve">     - </w:t>
      </w:r>
      <w:r>
        <w:rPr>
          <w:sz w:val="26"/>
        </w:rPr>
        <w:t>оптимізація мережі та покращення матеріально-технічного стану закладів культури;</w:t>
      </w:r>
    </w:p>
    <w:p w:rsidR="0003595A" w:rsidRDefault="0003595A" w:rsidP="0003595A">
      <w:pPr>
        <w:tabs>
          <w:tab w:val="left" w:pos="1679"/>
        </w:tabs>
        <w:ind w:right="160"/>
        <w:rPr>
          <w:sz w:val="26"/>
        </w:rPr>
      </w:pPr>
      <w:r>
        <w:rPr>
          <w:sz w:val="26"/>
          <w:lang w:val="uk-UA"/>
        </w:rPr>
        <w:t xml:space="preserve">      - </w:t>
      </w:r>
      <w:r>
        <w:rPr>
          <w:sz w:val="26"/>
        </w:rPr>
        <w:t>розвиток і збереження національних традицій та звичаїв, нематеріальної культурної спадщини;</w:t>
      </w:r>
    </w:p>
    <w:p w:rsidR="0003595A" w:rsidRDefault="0003595A" w:rsidP="0003595A">
      <w:pPr>
        <w:tabs>
          <w:tab w:val="left" w:pos="1460"/>
        </w:tabs>
        <w:rPr>
          <w:sz w:val="26"/>
        </w:rPr>
      </w:pPr>
      <w:r>
        <w:rPr>
          <w:sz w:val="26"/>
          <w:lang w:val="uk-UA"/>
        </w:rPr>
        <w:t xml:space="preserve">- </w:t>
      </w:r>
      <w:r>
        <w:rPr>
          <w:sz w:val="26"/>
        </w:rPr>
        <w:t>проведення ремонтних робіт закладів культури;</w:t>
      </w:r>
    </w:p>
    <w:p w:rsidR="0003595A" w:rsidRPr="00DF648A" w:rsidRDefault="0003595A" w:rsidP="0003595A">
      <w:pPr>
        <w:tabs>
          <w:tab w:val="left" w:pos="1446"/>
        </w:tabs>
        <w:ind w:right="400"/>
        <w:rPr>
          <w:sz w:val="26"/>
        </w:rPr>
      </w:pPr>
      <w:r>
        <w:rPr>
          <w:sz w:val="26"/>
          <w:lang w:val="uk-UA"/>
        </w:rPr>
        <w:t xml:space="preserve">- </w:t>
      </w:r>
      <w:r>
        <w:rPr>
          <w:sz w:val="26"/>
        </w:rPr>
        <w:t xml:space="preserve">забезпечення та збереження кадрового потенціалу закладів культури </w:t>
      </w:r>
    </w:p>
    <w:p w:rsidR="0003595A" w:rsidRDefault="0003595A" w:rsidP="0003595A">
      <w:pPr>
        <w:tabs>
          <w:tab w:val="left" w:pos="1446"/>
        </w:tabs>
        <w:ind w:left="1360" w:right="400"/>
        <w:rPr>
          <w:sz w:val="26"/>
        </w:rPr>
      </w:pPr>
      <w:r>
        <w:rPr>
          <w:sz w:val="26"/>
        </w:rPr>
        <w:t>Основними результатами, яких планується досягти, є:</w:t>
      </w:r>
    </w:p>
    <w:p w:rsidR="0003595A" w:rsidRDefault="0003595A" w:rsidP="0003595A">
      <w:pPr>
        <w:numPr>
          <w:ilvl w:val="0"/>
          <w:numId w:val="6"/>
        </w:numPr>
        <w:tabs>
          <w:tab w:val="left" w:pos="1200"/>
        </w:tabs>
        <w:ind w:left="1200" w:hanging="172"/>
        <w:rPr>
          <w:sz w:val="26"/>
        </w:rPr>
      </w:pPr>
      <w:r>
        <w:rPr>
          <w:sz w:val="26"/>
        </w:rPr>
        <w:t>покращення матеріально-технічної бази закладів культури;</w:t>
      </w:r>
    </w:p>
    <w:p w:rsidR="0003595A" w:rsidRDefault="0003595A" w:rsidP="0003595A">
      <w:pPr>
        <w:numPr>
          <w:ilvl w:val="0"/>
          <w:numId w:val="6"/>
        </w:numPr>
        <w:tabs>
          <w:tab w:val="left" w:pos="1180"/>
        </w:tabs>
        <w:ind w:left="1180" w:hanging="152"/>
        <w:rPr>
          <w:sz w:val="26"/>
        </w:rPr>
      </w:pPr>
      <w:r>
        <w:rPr>
          <w:sz w:val="26"/>
        </w:rPr>
        <w:t>забезпечення високого рівня проведення фестивалів, конкурсів, свят;</w:t>
      </w:r>
    </w:p>
    <w:p w:rsidR="0003595A" w:rsidRDefault="0003595A" w:rsidP="0003595A">
      <w:pPr>
        <w:ind w:right="-999"/>
        <w:jc w:val="center"/>
        <w:rPr>
          <w:b/>
          <w:sz w:val="26"/>
          <w:lang w:val="uk-UA"/>
        </w:rPr>
      </w:pPr>
      <w:r>
        <w:rPr>
          <w:b/>
          <w:sz w:val="26"/>
        </w:rPr>
        <w:t>Благоустрій</w:t>
      </w:r>
    </w:p>
    <w:p w:rsidR="0003595A" w:rsidRDefault="0003595A" w:rsidP="0003595A">
      <w:pPr>
        <w:ind w:left="-142" w:right="-999" w:firstLine="142"/>
        <w:rPr>
          <w:sz w:val="26"/>
          <w:lang w:val="uk-UA"/>
        </w:rPr>
      </w:pPr>
      <w:r>
        <w:rPr>
          <w:sz w:val="26"/>
        </w:rPr>
        <w:t>Пріоритетними завданнями житлово-комунального господарства є підвищення</w:t>
      </w:r>
    </w:p>
    <w:p w:rsidR="0003595A" w:rsidRDefault="0003595A" w:rsidP="0003595A">
      <w:pPr>
        <w:ind w:right="-999"/>
        <w:rPr>
          <w:sz w:val="26"/>
          <w:lang w:val="uk-UA"/>
        </w:rPr>
      </w:pPr>
      <w:r>
        <w:rPr>
          <w:sz w:val="26"/>
        </w:rPr>
        <w:t xml:space="preserve"> якості житлово-комунальних послуг для всіх верств населення, розвиток</w:t>
      </w:r>
    </w:p>
    <w:p w:rsidR="0003595A" w:rsidRDefault="0003595A" w:rsidP="0003595A">
      <w:pPr>
        <w:ind w:right="-999"/>
        <w:jc w:val="center"/>
        <w:rPr>
          <w:sz w:val="26"/>
        </w:rPr>
      </w:pPr>
      <w:r>
        <w:rPr>
          <w:sz w:val="26"/>
        </w:rPr>
        <w:t xml:space="preserve"> благоустрою в населених пунктах громади.</w:t>
      </w:r>
    </w:p>
    <w:p w:rsidR="0003595A" w:rsidRDefault="0003595A" w:rsidP="0003595A">
      <w:pPr>
        <w:numPr>
          <w:ilvl w:val="0"/>
          <w:numId w:val="7"/>
        </w:numPr>
        <w:tabs>
          <w:tab w:val="left" w:pos="1290"/>
        </w:tabs>
        <w:ind w:left="1020" w:right="1740" w:firstLine="6"/>
        <w:rPr>
          <w:sz w:val="26"/>
        </w:rPr>
      </w:pPr>
      <w:r>
        <w:rPr>
          <w:sz w:val="26"/>
        </w:rPr>
        <w:t>202</w:t>
      </w:r>
      <w:r>
        <w:rPr>
          <w:sz w:val="26"/>
          <w:lang w:val="uk-UA"/>
        </w:rPr>
        <w:t>1</w:t>
      </w:r>
      <w:r>
        <w:rPr>
          <w:sz w:val="26"/>
        </w:rPr>
        <w:t>-202</w:t>
      </w:r>
      <w:r>
        <w:rPr>
          <w:sz w:val="26"/>
          <w:lang w:val="uk-UA"/>
        </w:rPr>
        <w:t>3</w:t>
      </w:r>
      <w:r>
        <w:rPr>
          <w:sz w:val="26"/>
        </w:rPr>
        <w:t xml:space="preserve"> роках передбачається здійснити такі заходи: - </w:t>
      </w:r>
      <w:r>
        <w:rPr>
          <w:sz w:val="26"/>
          <w:lang w:val="uk-UA"/>
        </w:rPr>
        <w:t xml:space="preserve">- </w:t>
      </w:r>
      <w:r>
        <w:rPr>
          <w:sz w:val="26"/>
        </w:rPr>
        <w:t>підтримання в належному стані доріг;</w:t>
      </w:r>
    </w:p>
    <w:p w:rsidR="0003595A" w:rsidRDefault="0003595A" w:rsidP="0003595A">
      <w:pPr>
        <w:ind w:left="1020"/>
        <w:rPr>
          <w:sz w:val="26"/>
        </w:rPr>
      </w:pPr>
      <w:r>
        <w:rPr>
          <w:sz w:val="26"/>
        </w:rPr>
        <w:t>- сприяння  розвитку благоустрою:  освітлення доріг, прибудинкових</w:t>
      </w:r>
    </w:p>
    <w:p w:rsidR="0003595A" w:rsidRDefault="0003595A" w:rsidP="0003595A">
      <w:pPr>
        <w:ind w:left="320"/>
        <w:jc w:val="both"/>
        <w:rPr>
          <w:sz w:val="26"/>
        </w:rPr>
      </w:pPr>
      <w:r>
        <w:rPr>
          <w:sz w:val="26"/>
        </w:rPr>
        <w:t>територій; збереження зелених насаджень, їх утримання в задовільному та упорядкованому стані, створення та формування високо декоративних і ефективних в екологічному відношенні насаджень; охорона та благоустрій парків, річок, благоустрій кладовищ.</w:t>
      </w:r>
    </w:p>
    <w:p w:rsidR="0003595A" w:rsidRDefault="0003595A" w:rsidP="0003595A">
      <w:pPr>
        <w:numPr>
          <w:ilvl w:val="0"/>
          <w:numId w:val="8"/>
        </w:numPr>
        <w:tabs>
          <w:tab w:val="left" w:pos="482"/>
        </w:tabs>
        <w:ind w:left="1020" w:right="400" w:hanging="708"/>
        <w:rPr>
          <w:sz w:val="26"/>
        </w:rPr>
      </w:pPr>
      <w:r>
        <w:rPr>
          <w:sz w:val="26"/>
        </w:rPr>
        <w:t>вирішення питання щодо збору та вивезення твердих побутових відходів. Основними результатами, яких планується досягти, є:</w:t>
      </w:r>
    </w:p>
    <w:p w:rsidR="0003595A" w:rsidRDefault="0003595A" w:rsidP="0003595A">
      <w:pPr>
        <w:ind w:left="1020"/>
        <w:rPr>
          <w:sz w:val="26"/>
        </w:rPr>
      </w:pPr>
      <w:r>
        <w:rPr>
          <w:sz w:val="26"/>
        </w:rPr>
        <w:t>- покращити рівень благоустрою населених пунктів.</w:t>
      </w:r>
    </w:p>
    <w:p w:rsidR="0003595A" w:rsidRDefault="0003595A" w:rsidP="0003595A">
      <w:pPr>
        <w:ind w:left="320" w:right="40" w:firstLine="690"/>
        <w:jc w:val="both"/>
        <w:rPr>
          <w:sz w:val="26"/>
        </w:rPr>
      </w:pPr>
      <w:r>
        <w:rPr>
          <w:sz w:val="26"/>
        </w:rPr>
        <w:t>Як і в попередні роки, в 202</w:t>
      </w:r>
      <w:r>
        <w:rPr>
          <w:sz w:val="26"/>
          <w:lang w:val="uk-UA"/>
        </w:rPr>
        <w:t>2</w:t>
      </w:r>
      <w:r>
        <w:rPr>
          <w:sz w:val="26"/>
        </w:rPr>
        <w:t>-202</w:t>
      </w:r>
      <w:r>
        <w:rPr>
          <w:sz w:val="26"/>
          <w:lang w:val="uk-UA"/>
        </w:rPr>
        <w:t>3</w:t>
      </w:r>
      <w:r>
        <w:rPr>
          <w:sz w:val="26"/>
        </w:rPr>
        <w:t xml:space="preserve"> роках буде продовжено фінансування цільових місцевих програм.</w:t>
      </w:r>
    </w:p>
    <w:p w:rsidR="0003595A" w:rsidRDefault="0003595A" w:rsidP="0003595A"/>
    <w:p w:rsidR="0003595A" w:rsidRPr="00B63388" w:rsidRDefault="0003595A" w:rsidP="0003595A">
      <w:pPr>
        <w:ind w:left="320" w:right="20" w:firstLine="700"/>
        <w:jc w:val="both"/>
        <w:rPr>
          <w:b/>
          <w:sz w:val="26"/>
        </w:rPr>
      </w:pPr>
      <w:r w:rsidRPr="00B63388">
        <w:rPr>
          <w:b/>
          <w:sz w:val="26"/>
        </w:rPr>
        <w:t>Конкретні показники обсягу доходів та видатків на 202</w:t>
      </w:r>
      <w:r>
        <w:rPr>
          <w:b/>
          <w:sz w:val="26"/>
          <w:lang w:val="uk-UA"/>
        </w:rPr>
        <w:t>2</w:t>
      </w:r>
      <w:r w:rsidRPr="00B63388">
        <w:rPr>
          <w:b/>
          <w:sz w:val="26"/>
        </w:rPr>
        <w:t xml:space="preserve"> - 202</w:t>
      </w:r>
      <w:r>
        <w:rPr>
          <w:b/>
          <w:sz w:val="26"/>
          <w:lang w:val="uk-UA"/>
        </w:rPr>
        <w:t>3</w:t>
      </w:r>
      <w:r w:rsidRPr="00B63388">
        <w:rPr>
          <w:b/>
          <w:sz w:val="26"/>
        </w:rPr>
        <w:t xml:space="preserve"> роки будуть уточнюватись залежно від реальних можливостей бюджету на відповідні роки.</w:t>
      </w:r>
    </w:p>
    <w:p w:rsidR="0003595A" w:rsidRDefault="0003595A" w:rsidP="0003595A">
      <w:pPr>
        <w:spacing w:line="200" w:lineRule="exact"/>
      </w:pPr>
    </w:p>
    <w:p w:rsidR="0003595A" w:rsidRPr="00441190" w:rsidRDefault="0003595A" w:rsidP="0003595A">
      <w:pPr>
        <w:spacing w:line="200" w:lineRule="exact"/>
        <w:rPr>
          <w:szCs w:val="28"/>
        </w:rPr>
      </w:pPr>
    </w:p>
    <w:p w:rsidR="0003595A" w:rsidRPr="00441190" w:rsidRDefault="0003595A" w:rsidP="0003595A">
      <w:pPr>
        <w:rPr>
          <w:szCs w:val="28"/>
          <w:lang w:val="uk-UA"/>
        </w:rPr>
      </w:pPr>
      <w:r w:rsidRPr="00441190">
        <w:rPr>
          <w:szCs w:val="28"/>
          <w:lang w:val="uk-UA"/>
        </w:rPr>
        <w:t>Начальник відділу фінансів,</w:t>
      </w:r>
    </w:p>
    <w:p w:rsidR="0003595A" w:rsidRPr="00441190" w:rsidRDefault="0003595A" w:rsidP="0003595A">
      <w:pPr>
        <w:rPr>
          <w:szCs w:val="28"/>
          <w:lang w:val="uk-UA"/>
        </w:rPr>
      </w:pPr>
      <w:r>
        <w:rPr>
          <w:szCs w:val="28"/>
          <w:lang w:val="uk-UA"/>
        </w:rPr>
        <w:t>б</w:t>
      </w:r>
      <w:r w:rsidRPr="00441190">
        <w:rPr>
          <w:szCs w:val="28"/>
          <w:lang w:val="uk-UA"/>
        </w:rPr>
        <w:t xml:space="preserve">ухгалтерського обліку та звітності                 </w:t>
      </w:r>
      <w:r>
        <w:rPr>
          <w:szCs w:val="28"/>
          <w:lang w:val="uk-UA"/>
        </w:rPr>
        <w:t xml:space="preserve">        </w:t>
      </w:r>
      <w:r w:rsidRPr="00441190">
        <w:rPr>
          <w:szCs w:val="28"/>
          <w:lang w:val="uk-UA"/>
        </w:rPr>
        <w:t xml:space="preserve">      </w:t>
      </w:r>
      <w:r>
        <w:rPr>
          <w:szCs w:val="28"/>
          <w:lang w:val="uk-UA"/>
        </w:rPr>
        <w:t>Олександр АНТОНЮК</w:t>
      </w:r>
    </w:p>
    <w:p w:rsidR="0003595A" w:rsidRPr="00146758" w:rsidRDefault="0003595A" w:rsidP="0003595A">
      <w:pPr>
        <w:rPr>
          <w:lang w:val="uk-UA"/>
        </w:rPr>
      </w:pPr>
    </w:p>
    <w:p w:rsidR="00C2112E" w:rsidRPr="0003595A" w:rsidRDefault="00C2112E">
      <w:pPr>
        <w:rPr>
          <w:lang w:val="uk-UA"/>
        </w:rPr>
      </w:pPr>
      <w:bookmarkStart w:id="0" w:name="_GoBack"/>
      <w:bookmarkEnd w:id="0"/>
    </w:p>
    <w:sectPr w:rsidR="00C2112E" w:rsidRPr="0003595A" w:rsidSect="00286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5"/>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6"/>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7"/>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8"/>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A"/>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B"/>
    <w:multiLevelType w:val="hybridMultilevel"/>
    <w:tmpl w:val="71F3245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C"/>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F6"/>
    <w:rsid w:val="0003595A"/>
    <w:rsid w:val="00C2112E"/>
    <w:rsid w:val="00F4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5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5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11097</Characters>
  <Application>Microsoft Office Word</Application>
  <DocSecurity>0</DocSecurity>
  <Lines>92</Lines>
  <Paragraphs>26</Paragraphs>
  <ScaleCrop>false</ScaleCrop>
  <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Назаренко</dc:creator>
  <cp:keywords/>
  <dc:description/>
  <cp:lastModifiedBy>Майя Назаренко</cp:lastModifiedBy>
  <cp:revision>2</cp:revision>
  <dcterms:created xsi:type="dcterms:W3CDTF">2020-12-15T13:31:00Z</dcterms:created>
  <dcterms:modified xsi:type="dcterms:W3CDTF">2020-12-15T13:31:00Z</dcterms:modified>
</cp:coreProperties>
</file>